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DFC6" w14:textId="77777777" w:rsidR="00DF2CA8" w:rsidRDefault="00DF2CA8">
      <w:pPr>
        <w:pStyle w:val="DocumentDescription"/>
        <w:rPr>
          <w:rFonts w:ascii="Lato" w:hAnsi="Lato"/>
          <w:sz w:val="24"/>
          <w:szCs w:val="24"/>
        </w:rPr>
      </w:pPr>
    </w:p>
    <w:p w14:paraId="334C724B" w14:textId="77777777" w:rsidR="00DF2CA8" w:rsidRDefault="00DF2CA8">
      <w:pPr>
        <w:pStyle w:val="DocumentSubtitle"/>
        <w:jc w:val="center"/>
        <w:rPr>
          <w:rFonts w:ascii="Lato" w:hAnsi="Lato"/>
          <w:sz w:val="24"/>
          <w:szCs w:val="24"/>
        </w:rPr>
      </w:pPr>
    </w:p>
    <w:p w14:paraId="16C9660A" w14:textId="77777777" w:rsidR="00DF2CA8" w:rsidRDefault="00DF2CA8">
      <w:pPr>
        <w:pStyle w:val="DocumentSubtitle"/>
        <w:jc w:val="center"/>
        <w:rPr>
          <w:rFonts w:ascii="Lato" w:hAnsi="Lato"/>
          <w:sz w:val="24"/>
          <w:szCs w:val="24"/>
        </w:rPr>
      </w:pPr>
    </w:p>
    <w:p w14:paraId="475C495A" w14:textId="77777777" w:rsidR="00DF2CA8" w:rsidRDefault="00DF2CA8">
      <w:pPr>
        <w:pStyle w:val="DocumentSubtitle"/>
        <w:jc w:val="center"/>
        <w:rPr>
          <w:rFonts w:ascii="Lato" w:hAnsi="Lato"/>
          <w:sz w:val="24"/>
          <w:szCs w:val="24"/>
        </w:rPr>
      </w:pPr>
    </w:p>
    <w:p w14:paraId="3A76D29E" w14:textId="77777777" w:rsidR="00DF2CA8" w:rsidRDefault="00DF2CA8">
      <w:pPr>
        <w:pStyle w:val="DocumentSubtitle"/>
        <w:jc w:val="center"/>
        <w:rPr>
          <w:rFonts w:ascii="Lato" w:hAnsi="Lato"/>
          <w:sz w:val="24"/>
          <w:szCs w:val="24"/>
        </w:rPr>
      </w:pPr>
    </w:p>
    <w:p w14:paraId="7B7AD7D4" w14:textId="77777777" w:rsidR="00DF2CA8" w:rsidRDefault="00DF2CA8">
      <w:pPr>
        <w:pStyle w:val="DocumentSubtitle"/>
        <w:jc w:val="center"/>
        <w:rPr>
          <w:rFonts w:ascii="Lato" w:hAnsi="Lato"/>
          <w:sz w:val="24"/>
          <w:szCs w:val="24"/>
        </w:rPr>
      </w:pPr>
    </w:p>
    <w:p w14:paraId="32B6D774" w14:textId="77777777" w:rsidR="00DF2CA8" w:rsidRDefault="00DF2CA8">
      <w:pPr>
        <w:pStyle w:val="DocumentSubtitle"/>
        <w:jc w:val="center"/>
        <w:rPr>
          <w:rFonts w:ascii="Lato" w:hAnsi="Lato"/>
          <w:sz w:val="24"/>
          <w:szCs w:val="24"/>
        </w:rPr>
      </w:pPr>
    </w:p>
    <w:p w14:paraId="2B74454C" w14:textId="77777777" w:rsidR="00DF2CA8" w:rsidRDefault="00DF2CA8">
      <w:pPr>
        <w:pStyle w:val="DocumentSubtitle"/>
        <w:jc w:val="center"/>
        <w:rPr>
          <w:rFonts w:ascii="Lato" w:hAnsi="Lato"/>
          <w:sz w:val="24"/>
          <w:szCs w:val="24"/>
        </w:rPr>
      </w:pPr>
    </w:p>
    <w:p w14:paraId="26934B61" w14:textId="77777777" w:rsidR="00DF2CA8" w:rsidRDefault="00DF2CA8">
      <w:pPr>
        <w:pStyle w:val="DocumentSubtitle"/>
        <w:jc w:val="center"/>
        <w:rPr>
          <w:rFonts w:ascii="Lato" w:hAnsi="Lato"/>
          <w:sz w:val="24"/>
          <w:szCs w:val="24"/>
        </w:rPr>
      </w:pPr>
    </w:p>
    <w:p w14:paraId="7BBF88C0" w14:textId="77777777" w:rsidR="00DF2CA8" w:rsidRDefault="00DF2CA8">
      <w:pPr>
        <w:pStyle w:val="DocumentSubtitle"/>
        <w:jc w:val="center"/>
        <w:rPr>
          <w:rFonts w:ascii="Lato" w:hAnsi="Lato"/>
          <w:sz w:val="24"/>
          <w:szCs w:val="24"/>
        </w:rPr>
      </w:pPr>
    </w:p>
    <w:p w14:paraId="7DEE16A5" w14:textId="77777777" w:rsidR="00DF2CA8" w:rsidRDefault="00DF2CA8">
      <w:pPr>
        <w:pStyle w:val="DocumentSubtitle"/>
        <w:jc w:val="center"/>
        <w:rPr>
          <w:rFonts w:ascii="Lato" w:hAnsi="Lato"/>
          <w:sz w:val="24"/>
          <w:szCs w:val="24"/>
        </w:rPr>
      </w:pPr>
    </w:p>
    <w:p w14:paraId="31E7C389" w14:textId="77777777" w:rsidR="00DF2CA8" w:rsidRDefault="00DF2CA8">
      <w:pPr>
        <w:pStyle w:val="DocumentSubtitle"/>
        <w:jc w:val="center"/>
        <w:rPr>
          <w:rFonts w:ascii="Lato" w:hAnsi="Lato"/>
          <w:sz w:val="24"/>
          <w:szCs w:val="24"/>
        </w:rPr>
      </w:pPr>
    </w:p>
    <w:p w14:paraId="23452188" w14:textId="77777777" w:rsidR="00DF2CA8" w:rsidRDefault="00DF2CA8">
      <w:pPr>
        <w:pStyle w:val="DocumentSubtitle"/>
        <w:jc w:val="center"/>
        <w:rPr>
          <w:rFonts w:ascii="Lato" w:hAnsi="Lato"/>
          <w:sz w:val="24"/>
          <w:szCs w:val="24"/>
        </w:rPr>
      </w:pPr>
    </w:p>
    <w:p w14:paraId="2E24322D" w14:textId="77777777" w:rsidR="00DF2CA8" w:rsidRDefault="00DF2CA8">
      <w:pPr>
        <w:pStyle w:val="DocumentSubtitle"/>
        <w:jc w:val="center"/>
        <w:rPr>
          <w:rFonts w:ascii="Lato" w:hAnsi="Lato"/>
          <w:sz w:val="24"/>
          <w:szCs w:val="24"/>
        </w:rPr>
      </w:pPr>
    </w:p>
    <w:p w14:paraId="1EE99627" w14:textId="77777777" w:rsidR="002F035D" w:rsidRDefault="002F035D" w:rsidP="002F035D">
      <w:pPr>
        <w:suppressAutoHyphens w:val="0"/>
        <w:spacing w:after="0"/>
        <w:jc w:val="center"/>
        <w:rPr>
          <w:rFonts w:ascii="Lato" w:hAnsi="Lato" w:cs="Times New Roman"/>
          <w:b/>
          <w:color w:val="DA291C"/>
          <w:sz w:val="24"/>
          <w:szCs w:val="24"/>
        </w:rPr>
      </w:pPr>
      <w:r w:rsidRPr="002F035D">
        <w:rPr>
          <w:rFonts w:ascii="Lato" w:hAnsi="Lato" w:cs="Times New Roman"/>
          <w:b/>
          <w:color w:val="DA291C"/>
          <w:sz w:val="24"/>
          <w:szCs w:val="24"/>
        </w:rPr>
        <w:t xml:space="preserve">Terms of Reference for </w:t>
      </w:r>
    </w:p>
    <w:p w14:paraId="27D6E91D" w14:textId="77777777" w:rsidR="00F37D57" w:rsidRPr="002F035D" w:rsidRDefault="00F37D57" w:rsidP="002F035D">
      <w:pPr>
        <w:suppressAutoHyphens w:val="0"/>
        <w:spacing w:after="0"/>
        <w:jc w:val="center"/>
        <w:rPr>
          <w:rFonts w:ascii="Lato" w:hAnsi="Lato" w:cs="Times New Roman"/>
          <w:b/>
          <w:color w:val="0070C0"/>
          <w:sz w:val="24"/>
          <w:szCs w:val="24"/>
        </w:rPr>
      </w:pPr>
    </w:p>
    <w:p w14:paraId="023208F9" w14:textId="77777777" w:rsidR="002F035D" w:rsidRPr="002F035D" w:rsidRDefault="002F035D" w:rsidP="002F035D">
      <w:pPr>
        <w:suppressAutoHyphens w:val="0"/>
        <w:spacing w:after="0"/>
        <w:jc w:val="center"/>
        <w:rPr>
          <w:rFonts w:cs="Times New Roman"/>
          <w:b/>
          <w:color w:val="DA291C"/>
          <w:sz w:val="24"/>
          <w:szCs w:val="24"/>
        </w:rPr>
      </w:pPr>
      <w:proofErr w:type="spellStart"/>
      <w:r w:rsidRPr="002F035D">
        <w:rPr>
          <w:rFonts w:ascii="Lato" w:hAnsi="Lato" w:cs="Times New Roman"/>
          <w:b/>
          <w:color w:val="0070C0"/>
          <w:sz w:val="24"/>
          <w:szCs w:val="24"/>
        </w:rPr>
        <w:t>Assida</w:t>
      </w:r>
      <w:proofErr w:type="spellEnd"/>
      <w:r w:rsidRPr="002F035D">
        <w:rPr>
          <w:rFonts w:ascii="Lato" w:hAnsi="Lato" w:cs="Times New Roman"/>
          <w:b/>
          <w:color w:val="0070C0"/>
          <w:sz w:val="24"/>
          <w:szCs w:val="24"/>
        </w:rPr>
        <w:t xml:space="preserve"> Plus End-line Study – Tawila, North Darfur</w:t>
      </w:r>
    </w:p>
    <w:p w14:paraId="548EF1C7" w14:textId="77777777" w:rsidR="002F035D" w:rsidRPr="002F035D" w:rsidRDefault="002F035D" w:rsidP="002F035D">
      <w:pPr>
        <w:suppressAutoHyphens w:val="0"/>
        <w:spacing w:after="0"/>
        <w:rPr>
          <w:rFonts w:ascii="Lato" w:hAnsi="Lato" w:cs="Times New Roman"/>
          <w:color w:val="000000"/>
          <w:sz w:val="24"/>
          <w:szCs w:val="24"/>
        </w:rPr>
      </w:pPr>
    </w:p>
    <w:p w14:paraId="0ADE376A" w14:textId="77777777" w:rsidR="002F035D" w:rsidRPr="002F035D" w:rsidRDefault="002F035D" w:rsidP="002F035D">
      <w:pPr>
        <w:suppressAutoHyphens w:val="0"/>
        <w:spacing w:after="0"/>
        <w:jc w:val="center"/>
        <w:rPr>
          <w:rFonts w:ascii="Lato" w:hAnsi="Lato" w:cs="Times New Roman"/>
          <w:color w:val="0070C0"/>
          <w:sz w:val="24"/>
          <w:szCs w:val="24"/>
        </w:rPr>
      </w:pPr>
    </w:p>
    <w:p w14:paraId="7FA91FE7" w14:textId="0A009901" w:rsidR="00DF2CA8" w:rsidRDefault="002F035D" w:rsidP="002F035D">
      <w:pPr>
        <w:pStyle w:val="DocumentDescription"/>
        <w:jc w:val="center"/>
        <w:rPr>
          <w:rFonts w:ascii="Lato" w:hAnsi="Lato"/>
          <w:color w:val="0070C0"/>
          <w:sz w:val="24"/>
          <w:szCs w:val="24"/>
        </w:rPr>
      </w:pPr>
      <w:r w:rsidRPr="002F035D">
        <w:rPr>
          <w:rFonts w:ascii="Lato" w:hAnsi="Lato" w:cs="Times New Roman"/>
          <w:color w:val="0070C0"/>
          <w:sz w:val="24"/>
          <w:szCs w:val="24"/>
        </w:rPr>
        <w:t>August 2026</w:t>
      </w:r>
      <w:r w:rsidR="00572503">
        <w:br w:type="page"/>
      </w:r>
    </w:p>
    <w:p w14:paraId="1639E9E4" w14:textId="77777777" w:rsidR="00DF2CA8" w:rsidRDefault="00DF2CA8">
      <w:pPr>
        <w:jc w:val="both"/>
        <w:rPr>
          <w:rFonts w:ascii="Lato" w:hAnsi="Lato" w:cs="Gill Sans Infant Std"/>
          <w:color w:val="DA291C" w:themeColor="accent1"/>
          <w:sz w:val="24"/>
          <w:szCs w:val="24"/>
          <w:lang w:val="en-US"/>
        </w:rPr>
      </w:pPr>
    </w:p>
    <w:p w14:paraId="46CE84CD" w14:textId="77777777" w:rsidR="00DF2CA8" w:rsidRDefault="00DF2CA8">
      <w:pPr>
        <w:jc w:val="both"/>
        <w:rPr>
          <w:rFonts w:ascii="Lato" w:hAnsi="Lato" w:cs="Gill Sans Infant Std"/>
          <w:color w:val="0070C0"/>
          <w:sz w:val="24"/>
          <w:szCs w:val="24"/>
        </w:rPr>
      </w:pPr>
    </w:p>
    <w:sdt>
      <w:sdtPr>
        <w:rPr>
          <w:bCs/>
          <w:caps/>
          <w:color w:val="DA291C" w:themeColor="accent1"/>
          <w:sz w:val="44"/>
          <w:szCs w:val="28"/>
          <w:lang w:val="en-GB" w:eastAsia="en-US"/>
        </w:rPr>
        <w:id w:val="1313299007"/>
        <w:docPartObj>
          <w:docPartGallery w:val="Table of Contents"/>
          <w:docPartUnique/>
        </w:docPartObj>
      </w:sdtPr>
      <w:sdtEndPr/>
      <w:sdtContent>
        <w:p w14:paraId="7BC9966B" w14:textId="77777777" w:rsidR="00DF2CA8" w:rsidRDefault="00572503">
          <w:pPr>
            <w:pStyle w:val="TOCHeading"/>
            <w:numPr>
              <w:ilvl w:val="0"/>
              <w:numId w:val="0"/>
            </w:numPr>
            <w:ind w:left="567" w:hanging="567"/>
            <w:rPr>
              <w:rFonts w:ascii="Lato" w:hAnsi="Lato"/>
              <w:sz w:val="24"/>
              <w:szCs w:val="24"/>
            </w:rPr>
          </w:pPr>
          <w:r>
            <w:rPr>
              <w:sz w:val="24"/>
              <w:szCs w:val="24"/>
            </w:rPr>
            <w:t>TABLE OF CONTENTS</w:t>
          </w:r>
        </w:p>
        <w:p w14:paraId="7F9C80ED" w14:textId="77777777" w:rsidR="00DF2CA8" w:rsidRDefault="00572503">
          <w:pPr>
            <w:pStyle w:val="TOC1"/>
            <w:rPr>
              <w:rFonts w:ascii="Lato" w:eastAsiaTheme="minorEastAsia" w:hAnsi="Lato"/>
              <w:color w:val="auto"/>
              <w:sz w:val="24"/>
              <w:szCs w:val="24"/>
              <w:lang w:eastAsia="en-GB"/>
            </w:rPr>
          </w:pPr>
          <w:r>
            <w:rPr>
              <w:sz w:val="24"/>
              <w:szCs w:val="24"/>
            </w:rPr>
            <w:t>1. Project Summary</w:t>
          </w:r>
          <w:r>
            <w:rPr>
              <w:sz w:val="24"/>
              <w:szCs w:val="24"/>
            </w:rPr>
            <w:tab/>
            <w:t>2</w:t>
          </w:r>
        </w:p>
        <w:p w14:paraId="320B0041" w14:textId="77777777" w:rsidR="00DF2CA8" w:rsidRDefault="00572503">
          <w:pPr>
            <w:pStyle w:val="TOC1"/>
            <w:rPr>
              <w:rFonts w:ascii="Lato" w:eastAsiaTheme="minorEastAsia" w:hAnsi="Lato"/>
              <w:color w:val="auto"/>
              <w:sz w:val="24"/>
              <w:szCs w:val="24"/>
              <w:lang w:eastAsia="en-GB"/>
            </w:rPr>
          </w:pPr>
          <w:r>
            <w:rPr>
              <w:sz w:val="24"/>
              <w:szCs w:val="24"/>
            </w:rPr>
            <w:t>2. Introduction</w:t>
          </w:r>
          <w:r>
            <w:rPr>
              <w:sz w:val="24"/>
              <w:szCs w:val="24"/>
            </w:rPr>
            <w:tab/>
            <w:t>3</w:t>
          </w:r>
        </w:p>
        <w:p w14:paraId="6B1596B3" w14:textId="77777777" w:rsidR="00DF2CA8" w:rsidRDefault="00572503">
          <w:pPr>
            <w:pStyle w:val="TOC1"/>
            <w:rPr>
              <w:rFonts w:ascii="Lato" w:eastAsiaTheme="minorEastAsia" w:hAnsi="Lato"/>
              <w:color w:val="auto"/>
              <w:sz w:val="24"/>
              <w:szCs w:val="24"/>
              <w:lang w:eastAsia="en-GB"/>
            </w:rPr>
          </w:pPr>
          <w:r>
            <w:rPr>
              <w:sz w:val="24"/>
              <w:szCs w:val="24"/>
            </w:rPr>
            <w:t>3. Background and Context</w:t>
          </w:r>
          <w:r>
            <w:rPr>
              <w:sz w:val="24"/>
              <w:szCs w:val="24"/>
            </w:rPr>
            <w:tab/>
            <w:t>3</w:t>
          </w:r>
        </w:p>
        <w:p w14:paraId="3643501B" w14:textId="77777777" w:rsidR="00DF2CA8" w:rsidRDefault="00572503">
          <w:pPr>
            <w:pStyle w:val="TOC1"/>
            <w:rPr>
              <w:rFonts w:ascii="Lato" w:eastAsiaTheme="minorEastAsia" w:hAnsi="Lato"/>
              <w:color w:val="auto"/>
              <w:sz w:val="24"/>
              <w:szCs w:val="24"/>
              <w:lang w:eastAsia="en-GB"/>
            </w:rPr>
          </w:pPr>
          <w:r>
            <w:rPr>
              <w:sz w:val="24"/>
              <w:szCs w:val="24"/>
            </w:rPr>
            <w:t>4. Scope of Study</w:t>
          </w:r>
          <w:r>
            <w:rPr>
              <w:sz w:val="24"/>
              <w:szCs w:val="24"/>
            </w:rPr>
            <w:tab/>
            <w:t>5</w:t>
          </w:r>
        </w:p>
        <w:p w14:paraId="4F64F80B"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4.1 Purpose, Objectives and Scope</w:t>
          </w:r>
          <w:r>
            <w:rPr>
              <w:sz w:val="24"/>
              <w:szCs w:val="24"/>
            </w:rPr>
            <w:tab/>
            <w:t>5</w:t>
          </w:r>
        </w:p>
        <w:p w14:paraId="6F8CAED6"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4.2 Intended Audience and Use of the Study</w:t>
          </w:r>
          <w:r>
            <w:rPr>
              <w:sz w:val="24"/>
              <w:szCs w:val="24"/>
            </w:rPr>
            <w:tab/>
            <w:t>7</w:t>
          </w:r>
        </w:p>
        <w:p w14:paraId="031C36B7"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4.3 Key Study Questions</w:t>
          </w:r>
          <w:r>
            <w:rPr>
              <w:sz w:val="24"/>
              <w:szCs w:val="24"/>
            </w:rPr>
            <w:tab/>
            <w:t>8</w:t>
          </w:r>
        </w:p>
        <w:p w14:paraId="6C6BBE67" w14:textId="77777777" w:rsidR="00DF2CA8" w:rsidRDefault="00572503">
          <w:pPr>
            <w:pStyle w:val="TOC1"/>
            <w:tabs>
              <w:tab w:val="left" w:pos="1134"/>
            </w:tabs>
            <w:ind w:left="426"/>
            <w:rPr>
              <w:rFonts w:ascii="Lato" w:eastAsiaTheme="minorEastAsia" w:hAnsi="Lato"/>
              <w:color w:val="auto"/>
              <w:sz w:val="24"/>
              <w:szCs w:val="24"/>
              <w:lang w:eastAsia="en-GB"/>
            </w:rPr>
          </w:pPr>
          <w:r>
            <w:rPr>
              <w:sz w:val="24"/>
              <w:szCs w:val="24"/>
            </w:rPr>
            <w:t>5. Study Methodology</w:t>
          </w:r>
          <w:r>
            <w:rPr>
              <w:sz w:val="24"/>
              <w:szCs w:val="24"/>
            </w:rPr>
            <w:tab/>
            <w:t>13</w:t>
          </w:r>
        </w:p>
        <w:p w14:paraId="7C7470E6"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5.1 Study Design</w:t>
          </w:r>
          <w:r>
            <w:rPr>
              <w:sz w:val="24"/>
              <w:szCs w:val="24"/>
            </w:rPr>
            <w:tab/>
            <w:t>13</w:t>
          </w:r>
        </w:p>
        <w:p w14:paraId="1A1C25A9"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5.2 Sampling</w:t>
          </w:r>
          <w:r>
            <w:rPr>
              <w:sz w:val="24"/>
              <w:szCs w:val="24"/>
            </w:rPr>
            <w:tab/>
            <w:t>14</w:t>
          </w:r>
        </w:p>
        <w:p w14:paraId="44DD92D8"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5.3 Data Sources and Data Collection Methods / Tools</w:t>
          </w:r>
          <w:r>
            <w:rPr>
              <w:sz w:val="24"/>
              <w:szCs w:val="24"/>
            </w:rPr>
            <w:tab/>
            <w:t>15</w:t>
          </w:r>
        </w:p>
        <w:p w14:paraId="03574921"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5.4 Ethical Considerations</w:t>
          </w:r>
          <w:r>
            <w:rPr>
              <w:sz w:val="24"/>
              <w:szCs w:val="24"/>
            </w:rPr>
            <w:tab/>
            <w:t>16</w:t>
          </w:r>
        </w:p>
        <w:p w14:paraId="469D369A" w14:textId="77777777" w:rsidR="00DF2CA8" w:rsidRDefault="00572503">
          <w:pPr>
            <w:pStyle w:val="TOC2"/>
            <w:tabs>
              <w:tab w:val="left" w:pos="1134"/>
              <w:tab w:val="right" w:leader="dot" w:pos="9592"/>
            </w:tabs>
            <w:ind w:left="426"/>
            <w:rPr>
              <w:rFonts w:ascii="Lato" w:eastAsiaTheme="minorEastAsia" w:hAnsi="Lato"/>
              <w:color w:val="auto"/>
              <w:sz w:val="24"/>
              <w:szCs w:val="24"/>
              <w:lang w:eastAsia="en-GB"/>
            </w:rPr>
          </w:pPr>
          <w:r>
            <w:rPr>
              <w:sz w:val="24"/>
              <w:szCs w:val="24"/>
            </w:rPr>
            <w:t>5.5 Known limitations</w:t>
          </w:r>
          <w:r>
            <w:rPr>
              <w:sz w:val="24"/>
              <w:szCs w:val="24"/>
            </w:rPr>
            <w:tab/>
            <w:t>17</w:t>
          </w:r>
        </w:p>
        <w:p w14:paraId="184493F4" w14:textId="77777777" w:rsidR="00DF2CA8" w:rsidRDefault="00572503">
          <w:pPr>
            <w:pStyle w:val="TOC1"/>
            <w:rPr>
              <w:rFonts w:ascii="Lato" w:eastAsiaTheme="minorEastAsia" w:hAnsi="Lato"/>
              <w:color w:val="auto"/>
              <w:sz w:val="24"/>
              <w:szCs w:val="24"/>
              <w:lang w:eastAsia="en-GB"/>
            </w:rPr>
          </w:pPr>
          <w:r>
            <w:rPr>
              <w:sz w:val="24"/>
              <w:szCs w:val="24"/>
            </w:rPr>
            <w:t>6. Expected Deliverables</w:t>
          </w:r>
          <w:r>
            <w:rPr>
              <w:sz w:val="24"/>
              <w:szCs w:val="24"/>
            </w:rPr>
            <w:tab/>
            <w:t>17</w:t>
          </w:r>
        </w:p>
        <w:p w14:paraId="19ECC199" w14:textId="77777777" w:rsidR="00DF2CA8" w:rsidRDefault="00572503">
          <w:pPr>
            <w:pStyle w:val="TOC1"/>
            <w:rPr>
              <w:rFonts w:ascii="Lato" w:eastAsiaTheme="minorEastAsia" w:hAnsi="Lato"/>
              <w:color w:val="auto"/>
              <w:sz w:val="24"/>
              <w:szCs w:val="24"/>
              <w:lang w:eastAsia="en-GB"/>
            </w:rPr>
          </w:pPr>
          <w:r>
            <w:rPr>
              <w:sz w:val="24"/>
              <w:szCs w:val="24"/>
            </w:rPr>
            <w:t>7. Reporting and Governance</w:t>
          </w:r>
          <w:r>
            <w:rPr>
              <w:sz w:val="24"/>
              <w:szCs w:val="24"/>
            </w:rPr>
            <w:tab/>
            <w:t>19</w:t>
          </w:r>
        </w:p>
        <w:p w14:paraId="2ACBC8C6" w14:textId="77777777" w:rsidR="00DF2CA8" w:rsidRDefault="00572503">
          <w:pPr>
            <w:pStyle w:val="TOC1"/>
            <w:rPr>
              <w:rFonts w:ascii="Lato" w:eastAsiaTheme="minorEastAsia" w:hAnsi="Lato"/>
              <w:color w:val="auto"/>
              <w:sz w:val="24"/>
              <w:szCs w:val="24"/>
              <w:lang w:eastAsia="en-GB"/>
            </w:rPr>
          </w:pPr>
          <w:r>
            <w:rPr>
              <w:sz w:val="24"/>
              <w:szCs w:val="24"/>
            </w:rPr>
            <w:t>8. Study Management</w:t>
          </w:r>
          <w:r>
            <w:rPr>
              <w:sz w:val="24"/>
              <w:szCs w:val="24"/>
            </w:rPr>
            <w:tab/>
            <w:t>20</w:t>
          </w:r>
        </w:p>
        <w:p w14:paraId="66E224A0" w14:textId="77777777" w:rsidR="00DF2CA8" w:rsidRDefault="00572503">
          <w:pPr>
            <w:pStyle w:val="TOC1"/>
            <w:rPr>
              <w:rFonts w:ascii="Lato" w:eastAsiaTheme="minorEastAsia" w:hAnsi="Lato"/>
              <w:color w:val="auto"/>
              <w:sz w:val="24"/>
              <w:szCs w:val="24"/>
              <w:lang w:eastAsia="en-GB"/>
            </w:rPr>
          </w:pPr>
          <w:r>
            <w:rPr>
              <w:sz w:val="24"/>
              <w:szCs w:val="24"/>
            </w:rPr>
            <w:t>9. Study Team and Selection Criteria</w:t>
          </w:r>
          <w:r>
            <w:rPr>
              <w:sz w:val="24"/>
              <w:szCs w:val="24"/>
            </w:rPr>
            <w:tab/>
            <w:t>22</w:t>
          </w:r>
        </w:p>
        <w:p w14:paraId="0CA40005" w14:textId="77777777" w:rsidR="00DF2CA8" w:rsidRDefault="00572503">
          <w:pPr>
            <w:pStyle w:val="TOC1"/>
            <w:rPr>
              <w:rFonts w:ascii="Lato" w:eastAsiaTheme="minorEastAsia" w:hAnsi="Lato"/>
              <w:color w:val="auto"/>
              <w:sz w:val="24"/>
              <w:szCs w:val="24"/>
              <w:lang w:eastAsia="en-GB"/>
            </w:rPr>
          </w:pPr>
          <w:r>
            <w:rPr>
              <w:sz w:val="24"/>
              <w:szCs w:val="24"/>
            </w:rPr>
            <w:t>10. Schedule of Payment</w:t>
          </w:r>
          <w:r>
            <w:rPr>
              <w:sz w:val="24"/>
              <w:szCs w:val="24"/>
            </w:rPr>
            <w:tab/>
            <w:t>23</w:t>
          </w:r>
        </w:p>
        <w:p w14:paraId="0AA176E4" w14:textId="77777777" w:rsidR="00DF2CA8" w:rsidRDefault="00572503">
          <w:pPr>
            <w:pStyle w:val="TOC1"/>
            <w:rPr>
              <w:rFonts w:ascii="Lato" w:eastAsiaTheme="minorEastAsia" w:hAnsi="Lato"/>
              <w:color w:val="auto"/>
              <w:sz w:val="24"/>
              <w:szCs w:val="24"/>
              <w:lang w:eastAsia="en-GB"/>
            </w:rPr>
          </w:pPr>
          <w:r>
            <w:rPr>
              <w:sz w:val="24"/>
              <w:szCs w:val="24"/>
            </w:rPr>
            <w:t>11. HOW TO APPLY</w:t>
          </w:r>
          <w:r>
            <w:rPr>
              <w:sz w:val="24"/>
              <w:szCs w:val="24"/>
            </w:rPr>
            <w:tab/>
            <w:t>24</w:t>
          </w:r>
        </w:p>
        <w:p w14:paraId="6F5ACFB5" w14:textId="77777777" w:rsidR="00DF2CA8" w:rsidRDefault="00572503">
          <w:pPr>
            <w:pStyle w:val="TOC1"/>
            <w:rPr>
              <w:rFonts w:ascii="Lato" w:eastAsiaTheme="minorEastAsia" w:hAnsi="Lato"/>
              <w:color w:val="auto"/>
              <w:sz w:val="24"/>
              <w:szCs w:val="24"/>
              <w:lang w:eastAsia="en-GB"/>
            </w:rPr>
            <w:sectPr w:rsidR="00DF2CA8">
              <w:headerReference w:type="even" r:id="rId12"/>
              <w:headerReference w:type="default" r:id="rId13"/>
              <w:footerReference w:type="even" r:id="rId14"/>
              <w:footerReference w:type="default" r:id="rId15"/>
              <w:headerReference w:type="first" r:id="rId16"/>
              <w:footerReference w:type="first" r:id="rId17"/>
              <w:pgSz w:w="11906" w:h="16838"/>
              <w:pgMar w:top="1152" w:right="1152" w:bottom="1152" w:left="1152" w:header="562" w:footer="562" w:gutter="0"/>
              <w:pgNumType w:start="0"/>
              <w:cols w:space="720"/>
              <w:formProt w:val="0"/>
              <w:titlePg/>
              <w:docGrid w:linePitch="360" w:charSpace="4096"/>
            </w:sectPr>
          </w:pPr>
          <w:r>
            <w:rPr>
              <w:sz w:val="24"/>
              <w:szCs w:val="24"/>
            </w:rPr>
            <w:t>12. Annexes</w:t>
          </w:r>
          <w:r>
            <w:rPr>
              <w:sz w:val="24"/>
              <w:szCs w:val="24"/>
            </w:rPr>
            <w:tab/>
            <w:t>24</w:t>
          </w:r>
          <w:r>
            <w:br w:type="page"/>
          </w:r>
        </w:p>
        <w:p w14:paraId="09DF4C84" w14:textId="77777777" w:rsidR="00DF2CA8" w:rsidRDefault="00572503">
          <w:pPr>
            <w:pStyle w:val="Heading1"/>
            <w:rPr>
              <w:rFonts w:ascii="Lato" w:hAnsi="Lato"/>
              <w:sz w:val="24"/>
              <w:szCs w:val="24"/>
            </w:rPr>
          </w:pPr>
          <w:bookmarkStart w:id="0" w:name="_Toc61945681"/>
          <w:r>
            <w:rPr>
              <w:rFonts w:ascii="Lato" w:hAnsi="Lato"/>
              <w:sz w:val="24"/>
              <w:szCs w:val="24"/>
            </w:rPr>
            <w:lastRenderedPageBreak/>
            <w:t>Project Summary</w:t>
          </w:r>
          <w:bookmarkEnd w:id="0"/>
          <w:r>
            <w:rPr>
              <w:rFonts w:ascii="Lato" w:hAnsi="Lato"/>
              <w:sz w:val="24"/>
              <w:szCs w:val="24"/>
            </w:rPr>
            <w:t xml:space="preserve"> </w:t>
          </w:r>
        </w:p>
      </w:sdtContent>
    </w:sdt>
    <w:tbl>
      <w:tblPr>
        <w:tblStyle w:val="PlainTable2"/>
        <w:tblW w:w="9015" w:type="dxa"/>
        <w:tblLayout w:type="fixed"/>
        <w:tblLook w:val="04A0" w:firstRow="1" w:lastRow="0" w:firstColumn="1" w:lastColumn="0" w:noHBand="0" w:noVBand="1"/>
      </w:tblPr>
      <w:tblGrid>
        <w:gridCol w:w="2774"/>
        <w:gridCol w:w="6241"/>
      </w:tblGrid>
      <w:tr w:rsidR="00DF2CA8" w14:paraId="2EEBBAD7" w14:textId="77777777" w:rsidTr="00DF2CA8">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774" w:type="dxa"/>
          </w:tcPr>
          <w:p w14:paraId="56871DDF" w14:textId="77777777" w:rsidR="00DF2CA8" w:rsidRDefault="00572503">
            <w:pPr>
              <w:spacing w:line="360" w:lineRule="auto"/>
              <w:rPr>
                <w:rFonts w:ascii="Lato" w:hAnsi="Lato"/>
                <w:color w:val="0070C0"/>
                <w:sz w:val="24"/>
                <w:szCs w:val="24"/>
              </w:rPr>
            </w:pPr>
            <w:r>
              <w:rPr>
                <w:rFonts w:ascii="Lato" w:hAnsi="Lato"/>
                <w:sz w:val="24"/>
                <w:szCs w:val="24"/>
              </w:rPr>
              <w:t>Type of study</w:t>
            </w:r>
          </w:p>
        </w:tc>
        <w:tc>
          <w:tcPr>
            <w:tcW w:w="6240" w:type="dxa"/>
          </w:tcPr>
          <w:p w14:paraId="1891DD83" w14:textId="77777777" w:rsidR="00DF2CA8" w:rsidRDefault="00572503">
            <w:pPr>
              <w:spacing w:line="360" w:lineRule="auto"/>
              <w:cnfStyle w:val="100000000000" w:firstRow="1" w:lastRow="0" w:firstColumn="0" w:lastColumn="0" w:oddVBand="0" w:evenVBand="0" w:oddHBand="0" w:evenHBand="0" w:firstRowFirstColumn="0" w:firstRowLastColumn="0" w:lastRowFirstColumn="0" w:lastRowLastColumn="0"/>
              <w:rPr>
                <w:rFonts w:ascii="Lato" w:hAnsi="Lato"/>
                <w:b w:val="0"/>
                <w:bCs w:val="0"/>
                <w:color w:val="0070C0"/>
                <w:sz w:val="24"/>
                <w:szCs w:val="24"/>
              </w:rPr>
            </w:pPr>
            <w:r>
              <w:rPr>
                <w:rFonts w:ascii="Lato" w:hAnsi="Lato"/>
                <w:b w:val="0"/>
                <w:bCs w:val="0"/>
                <w:sz w:val="24"/>
                <w:szCs w:val="24"/>
              </w:rPr>
              <w:t>Mixed-methods End-line Outcome and Implementation Study</w:t>
            </w:r>
          </w:p>
        </w:tc>
      </w:tr>
      <w:tr w:rsidR="00DF2CA8" w14:paraId="5ABFE7CB" w14:textId="77777777" w:rsidTr="00DF2CA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774" w:type="dxa"/>
          </w:tcPr>
          <w:p w14:paraId="246B9230"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Name of the project</w:t>
            </w:r>
          </w:p>
        </w:tc>
        <w:tc>
          <w:tcPr>
            <w:tcW w:w="6240" w:type="dxa"/>
          </w:tcPr>
          <w:p w14:paraId="4DD40B3C" w14:textId="77777777" w:rsidR="00DF2CA8" w:rsidRDefault="00572503">
            <w:pPr>
              <w:spacing w:line="360" w:lineRule="auto"/>
              <w:cnfStyle w:val="000000100000" w:firstRow="0" w:lastRow="0" w:firstColumn="0" w:lastColumn="0" w:oddVBand="0" w:evenVBand="0" w:oddHBand="1" w:evenHBand="0" w:firstRowFirstColumn="0" w:firstRowLastColumn="0" w:lastRowFirstColumn="0" w:lastRowLastColumn="0"/>
              <w:rPr>
                <w:rFonts w:ascii="Lato" w:hAnsi="Lato"/>
                <w:sz w:val="24"/>
                <w:szCs w:val="24"/>
              </w:rPr>
            </w:pPr>
            <w:r>
              <w:rPr>
                <w:rFonts w:ascii="Lato" w:hAnsi="Lato"/>
                <w:sz w:val="24"/>
                <w:szCs w:val="24"/>
              </w:rPr>
              <w:t>Integrated Health, Nutrition, and Protection Services for Conflict-Affected and Displaced Communities at risk of famine in Tawila, North Darfur</w:t>
            </w:r>
          </w:p>
        </w:tc>
      </w:tr>
      <w:tr w:rsidR="00DF2CA8" w14:paraId="7B388337" w14:textId="77777777" w:rsidTr="00DF2CA8">
        <w:trPr>
          <w:trHeight w:val="440"/>
        </w:trPr>
        <w:tc>
          <w:tcPr>
            <w:cnfStyle w:val="001000000000" w:firstRow="0" w:lastRow="0" w:firstColumn="1" w:lastColumn="0" w:oddVBand="0" w:evenVBand="0" w:oddHBand="0" w:evenHBand="0" w:firstRowFirstColumn="0" w:firstRowLastColumn="0" w:lastRowFirstColumn="0" w:lastRowLastColumn="0"/>
            <w:tcW w:w="2774" w:type="dxa"/>
            <w:tcBorders>
              <w:top w:val="nil"/>
              <w:bottom w:val="nil"/>
            </w:tcBorders>
          </w:tcPr>
          <w:p w14:paraId="0F2C3F46"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Project Start and End dates</w:t>
            </w:r>
          </w:p>
        </w:tc>
        <w:tc>
          <w:tcPr>
            <w:tcW w:w="6240" w:type="dxa"/>
            <w:tcBorders>
              <w:top w:val="nil"/>
              <w:bottom w:val="nil"/>
            </w:tcBorders>
          </w:tcPr>
          <w:p w14:paraId="2F8422D1" w14:textId="77777777" w:rsidR="00DF2CA8" w:rsidRDefault="00572503">
            <w:pPr>
              <w:spacing w:line="360" w:lineRule="auto"/>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Pr>
                <w:rFonts w:ascii="Lato" w:hAnsi="Lato"/>
                <w:sz w:val="24"/>
                <w:szCs w:val="24"/>
              </w:rPr>
              <w:t>09 June 2025 – 08 June 2026</w:t>
            </w:r>
          </w:p>
        </w:tc>
      </w:tr>
      <w:tr w:rsidR="00DF2CA8" w14:paraId="67325188" w14:textId="77777777" w:rsidTr="00DF2CA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774" w:type="dxa"/>
          </w:tcPr>
          <w:p w14:paraId="420EC646"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Project duration</w:t>
            </w:r>
          </w:p>
        </w:tc>
        <w:tc>
          <w:tcPr>
            <w:tcW w:w="6240" w:type="dxa"/>
          </w:tcPr>
          <w:p w14:paraId="4BD9377B" w14:textId="77777777" w:rsidR="00DF2CA8" w:rsidRDefault="00572503">
            <w:pPr>
              <w:spacing w:line="360" w:lineRule="auto"/>
              <w:cnfStyle w:val="000000100000" w:firstRow="0" w:lastRow="0" w:firstColumn="0" w:lastColumn="0" w:oddVBand="0" w:evenVBand="0" w:oddHBand="1" w:evenHBand="0" w:firstRowFirstColumn="0" w:firstRowLastColumn="0" w:lastRowFirstColumn="0" w:lastRowLastColumn="0"/>
              <w:rPr>
                <w:rFonts w:ascii="Lato" w:hAnsi="Lato"/>
                <w:sz w:val="24"/>
                <w:szCs w:val="24"/>
              </w:rPr>
            </w:pPr>
            <w:r>
              <w:rPr>
                <w:rFonts w:ascii="Lato" w:hAnsi="Lato"/>
                <w:sz w:val="24"/>
                <w:szCs w:val="24"/>
              </w:rPr>
              <w:t>12 months</w:t>
            </w:r>
          </w:p>
        </w:tc>
      </w:tr>
      <w:tr w:rsidR="00DF2CA8" w14:paraId="7719D322" w14:textId="77777777" w:rsidTr="00DF2CA8">
        <w:trPr>
          <w:trHeight w:val="400"/>
        </w:trPr>
        <w:tc>
          <w:tcPr>
            <w:cnfStyle w:val="001000000000" w:firstRow="0" w:lastRow="0" w:firstColumn="1" w:lastColumn="0" w:oddVBand="0" w:evenVBand="0" w:oddHBand="0" w:evenHBand="0" w:firstRowFirstColumn="0" w:firstRowLastColumn="0" w:lastRowFirstColumn="0" w:lastRowLastColumn="0"/>
            <w:tcW w:w="2774" w:type="dxa"/>
            <w:tcBorders>
              <w:top w:val="nil"/>
              <w:bottom w:val="nil"/>
            </w:tcBorders>
          </w:tcPr>
          <w:p w14:paraId="106EC52C"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Project locations:</w:t>
            </w:r>
          </w:p>
        </w:tc>
        <w:tc>
          <w:tcPr>
            <w:tcW w:w="6240" w:type="dxa"/>
            <w:tcBorders>
              <w:top w:val="nil"/>
              <w:bottom w:val="nil"/>
            </w:tcBorders>
          </w:tcPr>
          <w:p w14:paraId="048ED8A5" w14:textId="77777777" w:rsidR="00DF2CA8" w:rsidRDefault="00572503">
            <w:pPr>
              <w:spacing w:line="360" w:lineRule="auto"/>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Pr>
                <w:rFonts w:ascii="Lato" w:hAnsi="Lato"/>
                <w:sz w:val="24"/>
                <w:szCs w:val="24"/>
              </w:rPr>
              <w:t>Tawila Locality, North Darfur, Sudan (</w:t>
            </w:r>
            <w:proofErr w:type="spellStart"/>
            <w:r>
              <w:rPr>
                <w:rFonts w:ascii="Lato" w:hAnsi="Lato"/>
                <w:sz w:val="24"/>
                <w:szCs w:val="24"/>
              </w:rPr>
              <w:t>Assida</w:t>
            </w:r>
            <w:proofErr w:type="spellEnd"/>
            <w:r>
              <w:rPr>
                <w:rFonts w:ascii="Lato" w:hAnsi="Lato"/>
                <w:sz w:val="24"/>
                <w:szCs w:val="24"/>
              </w:rPr>
              <w:t xml:space="preserve"> Plus-supported nutrition service sites)</w:t>
            </w:r>
          </w:p>
        </w:tc>
      </w:tr>
      <w:tr w:rsidR="00DF2CA8" w14:paraId="5B649CF4" w14:textId="77777777" w:rsidTr="00DF2CA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774" w:type="dxa"/>
          </w:tcPr>
          <w:p w14:paraId="34C5AB19"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Thematic areas</w:t>
            </w:r>
          </w:p>
        </w:tc>
        <w:tc>
          <w:tcPr>
            <w:tcW w:w="6240" w:type="dxa"/>
          </w:tcPr>
          <w:p w14:paraId="1E41BFB7" w14:textId="77777777" w:rsidR="00DF2CA8" w:rsidRDefault="00572503">
            <w:pPr>
              <w:spacing w:line="360" w:lineRule="auto"/>
              <w:cnfStyle w:val="000000100000" w:firstRow="0" w:lastRow="0" w:firstColumn="0" w:lastColumn="0" w:oddVBand="0" w:evenVBand="0" w:oddHBand="1" w:evenHBand="0" w:firstRowFirstColumn="0" w:firstRowLastColumn="0" w:lastRowFirstColumn="0" w:lastRowLastColumn="0"/>
              <w:rPr>
                <w:rFonts w:ascii="Lato" w:hAnsi="Lato"/>
                <w:color w:val="0070C0"/>
                <w:sz w:val="24"/>
                <w:szCs w:val="24"/>
              </w:rPr>
            </w:pPr>
            <w:r>
              <w:rPr>
                <w:rFonts w:ascii="Lato" w:hAnsi="Lato"/>
                <w:sz w:val="24"/>
                <w:szCs w:val="24"/>
              </w:rPr>
              <w:t>Nutrition; Health; food-based prevention of malnutrition; IYCF; Social and Behaviour Change; equity and inclusion</w:t>
            </w:r>
          </w:p>
        </w:tc>
      </w:tr>
      <w:tr w:rsidR="00DF2CA8" w14:paraId="09D2E8C0" w14:textId="77777777" w:rsidTr="00DF2CA8">
        <w:trPr>
          <w:trHeight w:val="379"/>
        </w:trPr>
        <w:tc>
          <w:tcPr>
            <w:cnfStyle w:val="001000000000" w:firstRow="0" w:lastRow="0" w:firstColumn="1" w:lastColumn="0" w:oddVBand="0" w:evenVBand="0" w:oddHBand="0" w:evenHBand="0" w:firstRowFirstColumn="0" w:firstRowLastColumn="0" w:lastRowFirstColumn="0" w:lastRowLastColumn="0"/>
            <w:tcW w:w="2774" w:type="dxa"/>
            <w:tcBorders>
              <w:top w:val="nil"/>
              <w:bottom w:val="nil"/>
            </w:tcBorders>
          </w:tcPr>
          <w:p w14:paraId="3DE635CD"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Donor</w:t>
            </w:r>
          </w:p>
        </w:tc>
        <w:tc>
          <w:tcPr>
            <w:tcW w:w="6240" w:type="dxa"/>
            <w:tcBorders>
              <w:top w:val="nil"/>
              <w:bottom w:val="nil"/>
            </w:tcBorders>
          </w:tcPr>
          <w:p w14:paraId="43AAC84C" w14:textId="77777777" w:rsidR="00DF2CA8" w:rsidRDefault="00572503">
            <w:pPr>
              <w:spacing w:line="360" w:lineRule="auto"/>
              <w:cnfStyle w:val="000000000000" w:firstRow="0" w:lastRow="0" w:firstColumn="0" w:lastColumn="0" w:oddVBand="0" w:evenVBand="0" w:oddHBand="0" w:evenHBand="0" w:firstRowFirstColumn="0" w:firstRowLastColumn="0" w:lastRowFirstColumn="0" w:lastRowLastColumn="0"/>
              <w:rPr>
                <w:rFonts w:ascii="Lato" w:hAnsi="Lato"/>
                <w:sz w:val="24"/>
                <w:szCs w:val="24"/>
              </w:rPr>
            </w:pPr>
            <w:r>
              <w:rPr>
                <w:rFonts w:ascii="Lato" w:hAnsi="Lato"/>
                <w:sz w:val="24"/>
                <w:szCs w:val="24"/>
              </w:rPr>
              <w:t>Sudan Humanitarian Fund (SHF) / OCHA Country-Based Pooled Fund (CBPF)</w:t>
            </w:r>
          </w:p>
        </w:tc>
      </w:tr>
      <w:tr w:rsidR="00DF2CA8" w14:paraId="5D7457D7" w14:textId="77777777" w:rsidTr="00DF2CA8">
        <w:trPr>
          <w:cnfStyle w:val="000000100000" w:firstRow="0" w:lastRow="0" w:firstColumn="0" w:lastColumn="0" w:oddVBand="0" w:evenVBand="0" w:oddHBand="1" w:evenHBand="0" w:firstRowFirstColumn="0" w:firstRowLastColumn="0" w:lastRowFirstColumn="0" w:lastRowLastColumn="0"/>
          <w:trHeight w:val="779"/>
        </w:trPr>
        <w:tc>
          <w:tcPr>
            <w:cnfStyle w:val="001000000000" w:firstRow="0" w:lastRow="0" w:firstColumn="1" w:lastColumn="0" w:oddVBand="0" w:evenVBand="0" w:oddHBand="0" w:evenHBand="0" w:firstRowFirstColumn="0" w:firstRowLastColumn="0" w:lastRowFirstColumn="0" w:lastRowLastColumn="0"/>
            <w:tcW w:w="2774" w:type="dxa"/>
          </w:tcPr>
          <w:p w14:paraId="7B37B8C1"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Estimated beneficiaries</w:t>
            </w:r>
          </w:p>
        </w:tc>
        <w:tc>
          <w:tcPr>
            <w:tcW w:w="6240" w:type="dxa"/>
          </w:tcPr>
          <w:p w14:paraId="23B7CE5C" w14:textId="77777777" w:rsidR="00DF2CA8" w:rsidRDefault="00572503">
            <w:pPr>
              <w:spacing w:after="0" w:line="360" w:lineRule="auto"/>
              <w:cnfStyle w:val="000000100000" w:firstRow="0" w:lastRow="0" w:firstColumn="0" w:lastColumn="0" w:oddVBand="0" w:evenVBand="0" w:oddHBand="1" w:evenHBand="0" w:firstRowFirstColumn="0" w:firstRowLastColumn="0" w:lastRowFirstColumn="0" w:lastRowLastColumn="0"/>
              <w:rPr>
                <w:rFonts w:ascii="Lato" w:hAnsi="Lato"/>
                <w:color w:val="0070C0"/>
                <w:sz w:val="24"/>
                <w:szCs w:val="24"/>
              </w:rPr>
            </w:pPr>
            <w:r>
              <w:rPr>
                <w:rFonts w:ascii="Lato" w:hAnsi="Lato"/>
                <w:sz w:val="24"/>
                <w:szCs w:val="24"/>
              </w:rPr>
              <w:t>Overall project: over 177,449 conflict-affected and displaced people. Preventive nutrition target: 5,111 under-two children and pregnant/breastfeeding women provided with nutritious food.</w:t>
            </w:r>
          </w:p>
        </w:tc>
      </w:tr>
      <w:tr w:rsidR="00DF2CA8" w14:paraId="7F753779" w14:textId="77777777" w:rsidTr="00DF2CA8">
        <w:trPr>
          <w:trHeight w:val="1158"/>
        </w:trPr>
        <w:tc>
          <w:tcPr>
            <w:cnfStyle w:val="001000000000" w:firstRow="0" w:lastRow="0" w:firstColumn="1" w:lastColumn="0" w:oddVBand="0" w:evenVBand="0" w:oddHBand="0" w:evenHBand="0" w:firstRowFirstColumn="0" w:firstRowLastColumn="0" w:lastRowFirstColumn="0" w:lastRowLastColumn="0"/>
            <w:tcW w:w="2774" w:type="dxa"/>
            <w:tcBorders>
              <w:top w:val="nil"/>
            </w:tcBorders>
          </w:tcPr>
          <w:p w14:paraId="535ACAB1" w14:textId="77777777" w:rsidR="00DF2CA8" w:rsidRDefault="00572503">
            <w:pPr>
              <w:spacing w:line="360" w:lineRule="auto"/>
              <w:rPr>
                <w:rFonts w:ascii="Lato" w:hAnsi="Lato" w:cstheme="minorHAnsi"/>
                <w:bCs w:val="0"/>
                <w:i/>
                <w:sz w:val="24"/>
                <w:szCs w:val="24"/>
              </w:rPr>
            </w:pPr>
            <w:r>
              <w:rPr>
                <w:rFonts w:ascii="Lato" w:hAnsi="Lato" w:cstheme="minorHAnsi"/>
                <w:bCs w:val="0"/>
                <w:sz w:val="24"/>
                <w:szCs w:val="24"/>
              </w:rPr>
              <w:t>Overall objective of the project</w:t>
            </w:r>
          </w:p>
        </w:tc>
        <w:tc>
          <w:tcPr>
            <w:tcW w:w="6240" w:type="dxa"/>
            <w:tcBorders>
              <w:top w:val="nil"/>
            </w:tcBorders>
          </w:tcPr>
          <w:p w14:paraId="5D1EBE3E" w14:textId="77777777" w:rsidR="00DF2CA8" w:rsidRDefault="00572503">
            <w:pPr>
              <w:spacing w:line="360" w:lineRule="auto"/>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Pr>
                <w:rFonts w:ascii="Lato" w:hAnsi="Lato"/>
                <w:sz w:val="24"/>
                <w:szCs w:val="24"/>
              </w:rPr>
              <w:t>Reduce morbidity and mortality among the most vulnerable children and their families by improving equitable and inclusive access to primary healthcare, nutrition, and protection services for populations affected by displacement and severe food insecurity in Tawila, North Darfur.</w:t>
            </w:r>
          </w:p>
        </w:tc>
      </w:tr>
    </w:tbl>
    <w:p w14:paraId="4EDE0CD3" w14:textId="77777777" w:rsidR="00DF2CA8" w:rsidRDefault="00DF2CA8">
      <w:pPr>
        <w:spacing w:after="200" w:line="276" w:lineRule="auto"/>
        <w:rPr>
          <w:rFonts w:ascii="Lato" w:hAnsi="Lato"/>
          <w:sz w:val="24"/>
          <w:szCs w:val="24"/>
        </w:rPr>
      </w:pPr>
    </w:p>
    <w:p w14:paraId="379EDBD6" w14:textId="77777777" w:rsidR="00DF2CA8" w:rsidRDefault="00572503">
      <w:pPr>
        <w:spacing w:after="200" w:line="276" w:lineRule="auto"/>
        <w:rPr>
          <w:rFonts w:ascii="Lato" w:hAnsi="Lato"/>
          <w:sz w:val="24"/>
          <w:szCs w:val="24"/>
        </w:rPr>
      </w:pPr>
      <w:r>
        <w:br w:type="page"/>
      </w:r>
    </w:p>
    <w:p w14:paraId="64646AC5" w14:textId="77777777" w:rsidR="00DF2CA8" w:rsidRDefault="00572503">
      <w:pPr>
        <w:pStyle w:val="Heading1"/>
        <w:spacing w:before="0"/>
        <w:rPr>
          <w:rFonts w:ascii="Lato" w:hAnsi="Lato"/>
          <w:sz w:val="24"/>
          <w:szCs w:val="24"/>
        </w:rPr>
      </w:pPr>
      <w:bookmarkStart w:id="1" w:name="_Toc61945682"/>
      <w:r>
        <w:rPr>
          <w:rFonts w:ascii="Lato" w:hAnsi="Lato"/>
          <w:sz w:val="24"/>
          <w:szCs w:val="24"/>
        </w:rPr>
        <w:lastRenderedPageBreak/>
        <w:t>Introduction</w:t>
      </w:r>
      <w:bookmarkEnd w:id="1"/>
    </w:p>
    <w:p w14:paraId="7B60F316" w14:textId="77777777" w:rsidR="00DF2CA8" w:rsidRDefault="00572503">
      <w:pPr>
        <w:spacing w:after="200" w:line="276" w:lineRule="auto"/>
        <w:jc w:val="both"/>
        <w:rPr>
          <w:rFonts w:ascii="Lato" w:hAnsi="Lato"/>
          <w:color w:val="0070C0"/>
          <w:sz w:val="24"/>
          <w:szCs w:val="24"/>
        </w:rPr>
      </w:pPr>
      <w:r>
        <w:rPr>
          <w:rFonts w:ascii="Lato" w:hAnsi="Lato"/>
          <w:sz w:val="24"/>
          <w:szCs w:val="24"/>
        </w:rPr>
        <w:t xml:space="preserve">This document provides the Terms of Reference for the </w:t>
      </w:r>
      <w:proofErr w:type="spellStart"/>
      <w:r>
        <w:rPr>
          <w:rFonts w:ascii="Lato" w:hAnsi="Lato"/>
          <w:sz w:val="24"/>
          <w:szCs w:val="24"/>
        </w:rPr>
        <w:t>Assida</w:t>
      </w:r>
      <w:proofErr w:type="spellEnd"/>
      <w:r>
        <w:rPr>
          <w:rFonts w:ascii="Lato" w:hAnsi="Lato"/>
          <w:sz w:val="24"/>
          <w:szCs w:val="24"/>
        </w:rPr>
        <w:t xml:space="preserve"> Plus end-line study in Tawila Locality, North Darfur, under the Save the Children project “Integrated Health, Nutrition, and Protection Services for Conflict-Affected and Displaced Communities at risk of famine in Tawila, North Darfur”.</w:t>
      </w:r>
    </w:p>
    <w:p w14:paraId="515A85EE" w14:textId="77777777" w:rsidR="00DF2CA8" w:rsidRDefault="00572503">
      <w:pPr>
        <w:spacing w:after="200" w:line="276" w:lineRule="auto"/>
        <w:jc w:val="both"/>
        <w:rPr>
          <w:rFonts w:ascii="Lato" w:hAnsi="Lato" w:cstheme="minorHAnsi"/>
          <w:color w:val="0070C0"/>
          <w:sz w:val="24"/>
          <w:szCs w:val="24"/>
        </w:rPr>
      </w:pPr>
      <w:r>
        <w:rPr>
          <w:rFonts w:ascii="Lato" w:hAnsi="Lato" w:cstheme="minorHAnsi"/>
          <w:sz w:val="24"/>
          <w:szCs w:val="24"/>
        </w:rPr>
        <w:t xml:space="preserve">The project is funded through the Sudan Humanitarian Fund and was implemented from 09 June 2025 to 08 June 2026. It combines health, nutrition, child protection and gender-based violence services for conflict-affected and displaced populations. Within the nutrition component, </w:t>
      </w:r>
      <w:proofErr w:type="spellStart"/>
      <w:r>
        <w:rPr>
          <w:rFonts w:ascii="Lato" w:hAnsi="Lato" w:cstheme="minorHAnsi"/>
          <w:sz w:val="24"/>
          <w:szCs w:val="24"/>
        </w:rPr>
        <w:t>Assida</w:t>
      </w:r>
      <w:proofErr w:type="spellEnd"/>
      <w:r>
        <w:rPr>
          <w:rFonts w:ascii="Lato" w:hAnsi="Lato" w:cstheme="minorHAnsi"/>
          <w:sz w:val="24"/>
          <w:szCs w:val="24"/>
        </w:rPr>
        <w:t xml:space="preserve"> Plus comprises food-based prevention support alongside Social and Behaviour Change activities, community and facility screening, referral, and linkages with Infant and Young Child Feeding services.</w:t>
      </w:r>
    </w:p>
    <w:p w14:paraId="18D0EDE1" w14:textId="77777777" w:rsidR="00DF2CA8" w:rsidRDefault="00572503">
      <w:pPr>
        <w:pStyle w:val="ListParagraph"/>
        <w:numPr>
          <w:ilvl w:val="0"/>
          <w:numId w:val="11"/>
        </w:numPr>
        <w:spacing w:line="276" w:lineRule="auto"/>
        <w:jc w:val="both"/>
        <w:rPr>
          <w:rFonts w:ascii="Lato" w:hAnsi="Lato"/>
          <w:i w:val="0"/>
          <w:iCs w:val="0"/>
          <w:color w:val="0070C0"/>
          <w:sz w:val="24"/>
          <w:szCs w:val="24"/>
        </w:rPr>
      </w:pPr>
      <w:r>
        <w:rPr>
          <w:rFonts w:ascii="Lato" w:hAnsi="Lato"/>
          <w:i w:val="0"/>
          <w:iCs w:val="0"/>
          <w:sz w:val="24"/>
          <w:szCs w:val="24"/>
        </w:rPr>
        <w:t xml:space="preserve">The principal population of interest for this study is children exposed or eligible for </w:t>
      </w:r>
      <w:proofErr w:type="spellStart"/>
      <w:r>
        <w:rPr>
          <w:rFonts w:ascii="Lato" w:hAnsi="Lato"/>
          <w:i w:val="0"/>
          <w:iCs w:val="0"/>
          <w:sz w:val="24"/>
          <w:szCs w:val="24"/>
        </w:rPr>
        <w:t>Assida</w:t>
      </w:r>
      <w:proofErr w:type="spellEnd"/>
      <w:r>
        <w:rPr>
          <w:rFonts w:ascii="Lato" w:hAnsi="Lato"/>
          <w:i w:val="0"/>
          <w:iCs w:val="0"/>
          <w:sz w:val="24"/>
          <w:szCs w:val="24"/>
        </w:rPr>
        <w:t xml:space="preserve"> Plus, with particular attention to children aged 6–23 months and 24–59 months, together with their caregivers and pregnant and breastfeeding women. The study will also engage community nutrition volunteers, service providers, implementing partners, local health authorities and other actors directly involved in delivery and referral pathways.</w:t>
      </w:r>
    </w:p>
    <w:p w14:paraId="2242923A" w14:textId="77777777" w:rsidR="00DF2CA8" w:rsidRDefault="00572503">
      <w:pPr>
        <w:pStyle w:val="ListParagraph"/>
        <w:numPr>
          <w:ilvl w:val="0"/>
          <w:numId w:val="11"/>
        </w:numPr>
        <w:spacing w:line="276" w:lineRule="auto"/>
        <w:jc w:val="both"/>
        <w:rPr>
          <w:rFonts w:ascii="Lato" w:hAnsi="Lato"/>
          <w:i w:val="0"/>
          <w:iCs w:val="0"/>
          <w:color w:val="0070C0"/>
          <w:sz w:val="24"/>
          <w:szCs w:val="24"/>
        </w:rPr>
      </w:pPr>
      <w:r>
        <w:rPr>
          <w:rFonts w:ascii="Lato" w:hAnsi="Lato"/>
          <w:i w:val="0"/>
          <w:iCs w:val="0"/>
          <w:sz w:val="24"/>
          <w:szCs w:val="24"/>
        </w:rPr>
        <w:t xml:space="preserve">The study is being commissioned at end-line to determine what the </w:t>
      </w:r>
      <w:proofErr w:type="spellStart"/>
      <w:r>
        <w:rPr>
          <w:rFonts w:ascii="Lato" w:hAnsi="Lato"/>
          <w:i w:val="0"/>
          <w:iCs w:val="0"/>
          <w:sz w:val="24"/>
          <w:szCs w:val="24"/>
        </w:rPr>
        <w:t>programme</w:t>
      </w:r>
      <w:proofErr w:type="spellEnd"/>
      <w:r>
        <w:rPr>
          <w:rFonts w:ascii="Lato" w:hAnsi="Lato"/>
          <w:i w:val="0"/>
          <w:iCs w:val="0"/>
          <w:sz w:val="24"/>
          <w:szCs w:val="24"/>
        </w:rPr>
        <w:t xml:space="preserve"> achieved, how and under what conditions it achieved those results, and which elements are most feasible, acceptable, safe, cost-efficient and sustainable. It will specifically address priority evidence gaps concerning: the effectiveness of </w:t>
      </w:r>
      <w:proofErr w:type="spellStart"/>
      <w:r>
        <w:rPr>
          <w:rFonts w:ascii="Lato" w:hAnsi="Lato"/>
          <w:i w:val="0"/>
          <w:iCs w:val="0"/>
          <w:sz w:val="24"/>
          <w:szCs w:val="24"/>
        </w:rPr>
        <w:t>Assida</w:t>
      </w:r>
      <w:proofErr w:type="spellEnd"/>
      <w:r>
        <w:rPr>
          <w:rFonts w:ascii="Lato" w:hAnsi="Lato"/>
          <w:i w:val="0"/>
          <w:iCs w:val="0"/>
          <w:sz w:val="24"/>
          <w:szCs w:val="24"/>
        </w:rPr>
        <w:t xml:space="preserve"> Plus in preventing new episodes or deterioration of acute malnutrition; nutrition outcomes during periods or in locations where TSFP services were unavailable or interrupted; risk factors limiting preventive nutrition in hard-to-reach settings; and, where applicable, the effectiveness, quality, cost, sustainability and scalability of local production or preparation arrangements. It will also examine nutritional trajectories, child feeding practices, morbidity and care-seeking, service coverage and continuity, implementation fidelity, stock and ration continuity, referral performance, equity, provider capacity and contextual factors affecting results.</w:t>
      </w:r>
    </w:p>
    <w:p w14:paraId="6EF08B77" w14:textId="77777777" w:rsidR="00DF2CA8" w:rsidRDefault="00572503">
      <w:pPr>
        <w:spacing w:after="200" w:line="276" w:lineRule="auto"/>
        <w:jc w:val="both"/>
        <w:rPr>
          <w:rFonts w:ascii="Lato" w:hAnsi="Lato"/>
          <w:color w:val="auto"/>
          <w:sz w:val="24"/>
          <w:szCs w:val="24"/>
        </w:rPr>
      </w:pPr>
      <w:r>
        <w:rPr>
          <w:rFonts w:ascii="Lato" w:hAnsi="Lato"/>
          <w:sz w:val="24"/>
          <w:szCs w:val="24"/>
        </w:rPr>
        <w:t xml:space="preserve">A rigorous mixed-methods design is required. The study will prioritise retrospective analysis of participant/patient cards and other programme records, including existing anthropometric measurements, and will collect targeted primary caregiver, provider and implementation data only where these are needed to fill evidence gaps that cannot be answered reliably from routine records. Routine repeat anthropometry should not be duplicated where valid measurements already exist; any new anthropometry should be limited to a clearly justified validation or current-status sub-study approved during inception. Where a credible comparison population can be identified without contamination and with adequate covariate information, the study team should propose </w:t>
      </w:r>
      <w:r>
        <w:rPr>
          <w:rFonts w:ascii="Lato" w:hAnsi="Lato"/>
          <w:sz w:val="24"/>
          <w:szCs w:val="24"/>
        </w:rPr>
        <w:lastRenderedPageBreak/>
        <w:t>an appropriately matched comparative analysis. Where this is not feasible, findings must be framed as contribution and association rather than causal attribution.</w:t>
      </w:r>
    </w:p>
    <w:p w14:paraId="1D23509D" w14:textId="77777777" w:rsidR="00DF2CA8" w:rsidRDefault="00572503">
      <w:pPr>
        <w:spacing w:after="200" w:line="276" w:lineRule="auto"/>
        <w:jc w:val="both"/>
        <w:rPr>
          <w:rFonts w:ascii="Lato" w:hAnsi="Lato"/>
          <w:color w:val="auto"/>
          <w:sz w:val="24"/>
          <w:szCs w:val="24"/>
        </w:rPr>
      </w:pPr>
      <w:r>
        <w:rPr>
          <w:rFonts w:ascii="Lato" w:hAnsi="Lato"/>
          <w:sz w:val="24"/>
          <w:szCs w:val="24"/>
        </w:rPr>
        <w:t>The project background, study scope, key questions, intended methodology, sampling requirements, ethical safeguards, reporting and governance arrangements, deliverables and indicative timeframes are set out below. The final protocol, study matrix, operational definitions, analysis plan and tools will be agreed during inception and approved before primary data collection begins.</w:t>
      </w:r>
    </w:p>
    <w:p w14:paraId="6ED85E97" w14:textId="77777777" w:rsidR="00DF2CA8" w:rsidRDefault="00572503">
      <w:pPr>
        <w:pStyle w:val="Heading1"/>
        <w:rPr>
          <w:rFonts w:ascii="Lato" w:hAnsi="Lato"/>
          <w:sz w:val="24"/>
          <w:szCs w:val="24"/>
        </w:rPr>
      </w:pPr>
      <w:bookmarkStart w:id="2" w:name="_Toc61945683"/>
      <w:r>
        <w:rPr>
          <w:rFonts w:ascii="Lato" w:hAnsi="Lato"/>
          <w:sz w:val="24"/>
          <w:szCs w:val="24"/>
        </w:rPr>
        <w:t>Background and Context</w:t>
      </w:r>
      <w:bookmarkEnd w:id="2"/>
    </w:p>
    <w:p w14:paraId="7DB1B299" w14:textId="77777777" w:rsidR="00DF2CA8" w:rsidRDefault="00572503">
      <w:pPr>
        <w:spacing w:after="200" w:line="276" w:lineRule="auto"/>
        <w:jc w:val="both"/>
        <w:rPr>
          <w:rFonts w:ascii="Lato" w:hAnsi="Lato"/>
          <w:color w:val="0070C0"/>
          <w:sz w:val="24"/>
          <w:szCs w:val="24"/>
        </w:rPr>
      </w:pPr>
      <w:r>
        <w:rPr>
          <w:rFonts w:ascii="Lato" w:hAnsi="Lato"/>
          <w:sz w:val="24"/>
          <w:szCs w:val="24"/>
        </w:rPr>
        <w:t>The project was developed in response to a rapidly deteriorating humanitarian situation in Tawila, North Darfur, characterised by large-scale conflict-related displacement, severe food insecurity, increasing malnutrition, constrained access to essential services and substantial pressure on health and nutrition systems. Newly displaced and host communities faced shortages of medicines, nutrition commodities, qualified staff and functioning referral options, alongside major access and protection constraints.</w:t>
      </w:r>
    </w:p>
    <w:p w14:paraId="251D9F94" w14:textId="77777777" w:rsidR="00DF2CA8" w:rsidRDefault="00572503">
      <w:pPr>
        <w:spacing w:after="200" w:line="276" w:lineRule="auto"/>
        <w:jc w:val="both"/>
        <w:rPr>
          <w:rFonts w:ascii="Lato" w:hAnsi="Lato"/>
          <w:color w:val="0070C0"/>
          <w:sz w:val="24"/>
          <w:szCs w:val="24"/>
        </w:rPr>
      </w:pPr>
      <w:r>
        <w:rPr>
          <w:rFonts w:ascii="Lato" w:hAnsi="Lato"/>
          <w:sz w:val="24"/>
          <w:szCs w:val="24"/>
        </w:rPr>
        <w:t>Save the Children, working with local partners and authorities, designed an integrated response intended to reduce preventable morbidity and mortality and improve equitable access to life-saving health, nutrition and protection services. The programme established or supported mobile service delivery, community screening and referral, treatment of acute malnutrition, IYCF counselling, health services and complementary protection interventions.</w:t>
      </w:r>
    </w:p>
    <w:p w14:paraId="7C7FBE50" w14:textId="77777777" w:rsidR="00DF2CA8" w:rsidRDefault="00572503">
      <w:pPr>
        <w:pStyle w:val="ListParagraph"/>
        <w:numPr>
          <w:ilvl w:val="0"/>
          <w:numId w:val="11"/>
        </w:numPr>
        <w:spacing w:line="276" w:lineRule="auto"/>
        <w:jc w:val="both"/>
        <w:rPr>
          <w:rFonts w:ascii="Lato" w:hAnsi="Lato"/>
          <w:i w:val="0"/>
          <w:iCs w:val="0"/>
          <w:color w:val="0070C0"/>
          <w:sz w:val="24"/>
          <w:szCs w:val="24"/>
        </w:rPr>
      </w:pPr>
      <w:r>
        <w:rPr>
          <w:rFonts w:ascii="Lato" w:hAnsi="Lato"/>
          <w:i w:val="0"/>
          <w:iCs w:val="0"/>
          <w:sz w:val="24"/>
          <w:szCs w:val="24"/>
        </w:rPr>
        <w:t xml:space="preserve">Within the nutrition result, the project objective is to improve the nutrition status of vulnerable children under five and pregnant and breastfeeding women through comprehensive nutrition services in Tawila. The </w:t>
      </w:r>
      <w:proofErr w:type="spellStart"/>
      <w:r>
        <w:rPr>
          <w:rFonts w:ascii="Lato" w:hAnsi="Lato"/>
          <w:i w:val="0"/>
          <w:iCs w:val="0"/>
          <w:sz w:val="24"/>
          <w:szCs w:val="24"/>
        </w:rPr>
        <w:t>programme</w:t>
      </w:r>
      <w:proofErr w:type="spellEnd"/>
      <w:r>
        <w:rPr>
          <w:rFonts w:ascii="Lato" w:hAnsi="Lato"/>
          <w:i w:val="0"/>
          <w:iCs w:val="0"/>
          <w:sz w:val="24"/>
          <w:szCs w:val="24"/>
        </w:rPr>
        <w:t xml:space="preserve"> combines treatment and prevention functions, with prevention representing a distinct component of the nutrition response.</w:t>
      </w:r>
    </w:p>
    <w:p w14:paraId="4BB50331" w14:textId="77777777" w:rsidR="00DF2CA8" w:rsidRDefault="00572503">
      <w:pPr>
        <w:pStyle w:val="ListParagraph"/>
        <w:numPr>
          <w:ilvl w:val="0"/>
          <w:numId w:val="11"/>
        </w:numPr>
        <w:spacing w:line="276" w:lineRule="auto"/>
        <w:jc w:val="both"/>
        <w:rPr>
          <w:rFonts w:ascii="Lato" w:hAnsi="Lato"/>
          <w:i w:val="0"/>
          <w:iCs w:val="0"/>
          <w:color w:val="0070C0"/>
          <w:sz w:val="24"/>
          <w:szCs w:val="24"/>
        </w:rPr>
      </w:pPr>
      <w:proofErr w:type="spellStart"/>
      <w:r>
        <w:rPr>
          <w:rFonts w:ascii="Lato" w:hAnsi="Lato"/>
          <w:i w:val="0"/>
          <w:iCs w:val="0"/>
          <w:sz w:val="24"/>
          <w:szCs w:val="24"/>
        </w:rPr>
        <w:t>Assida</w:t>
      </w:r>
      <w:proofErr w:type="spellEnd"/>
      <w:r>
        <w:rPr>
          <w:rFonts w:ascii="Lato" w:hAnsi="Lato"/>
          <w:i w:val="0"/>
          <w:iCs w:val="0"/>
          <w:sz w:val="24"/>
          <w:szCs w:val="24"/>
        </w:rPr>
        <w:t xml:space="preserve"> Plus is implemented as a preventive nutrition package. The project design includes a food-based prevention component for young children and pregnant/breastfeeding women, Social and </w:t>
      </w:r>
      <w:proofErr w:type="spellStart"/>
      <w:r>
        <w:rPr>
          <w:rFonts w:ascii="Lato" w:hAnsi="Lato"/>
          <w:i w:val="0"/>
          <w:iCs w:val="0"/>
          <w:sz w:val="24"/>
          <w:szCs w:val="24"/>
        </w:rPr>
        <w:t>Behaviour</w:t>
      </w:r>
      <w:proofErr w:type="spellEnd"/>
      <w:r>
        <w:rPr>
          <w:rFonts w:ascii="Lato" w:hAnsi="Lato"/>
          <w:i w:val="0"/>
          <w:iCs w:val="0"/>
          <w:sz w:val="24"/>
          <w:szCs w:val="24"/>
        </w:rPr>
        <w:t xml:space="preserve"> Change support on preparation and use of the food ration, mass MUAC and oedema screening, active case finding and referral, and links to IYCF and health services. Screening is intended to identify children with acute malnutrition and facilitate timely enrolment in appropriate treatment or counselling services.</w:t>
      </w:r>
    </w:p>
    <w:p w14:paraId="7A4839A7" w14:textId="77777777" w:rsidR="00DF2CA8" w:rsidRDefault="00572503">
      <w:pPr>
        <w:pStyle w:val="ListParagraph"/>
        <w:numPr>
          <w:ilvl w:val="0"/>
          <w:numId w:val="11"/>
        </w:numPr>
        <w:spacing w:line="276" w:lineRule="auto"/>
        <w:jc w:val="both"/>
        <w:rPr>
          <w:rFonts w:ascii="Lato" w:hAnsi="Lato"/>
          <w:i w:val="0"/>
          <w:iCs w:val="0"/>
          <w:color w:val="0070C0"/>
          <w:sz w:val="24"/>
          <w:szCs w:val="24"/>
        </w:rPr>
      </w:pPr>
      <w:r>
        <w:rPr>
          <w:rFonts w:ascii="Lato" w:hAnsi="Lato"/>
          <w:i w:val="0"/>
          <w:iCs w:val="0"/>
          <w:sz w:val="24"/>
          <w:szCs w:val="24"/>
        </w:rPr>
        <w:t xml:space="preserve">The preventive nutrition output also includes facility- and community-based IYCF counselling. The project promotes early initiation and exclusive breastfeeding, age-appropriate complementary feeding and continued breastfeeding, supported by trained nutrition staff and community volunteers. These elements are important potential pathways through which </w:t>
      </w:r>
      <w:proofErr w:type="spellStart"/>
      <w:r>
        <w:rPr>
          <w:rFonts w:ascii="Lato" w:hAnsi="Lato"/>
          <w:i w:val="0"/>
          <w:iCs w:val="0"/>
          <w:sz w:val="24"/>
          <w:szCs w:val="24"/>
        </w:rPr>
        <w:t>Assida</w:t>
      </w:r>
      <w:proofErr w:type="spellEnd"/>
      <w:r>
        <w:rPr>
          <w:rFonts w:ascii="Lato" w:hAnsi="Lato"/>
          <w:i w:val="0"/>
          <w:iCs w:val="0"/>
          <w:sz w:val="24"/>
          <w:szCs w:val="24"/>
        </w:rPr>
        <w:t xml:space="preserve"> Plus may influence nutritional outcomes beyond the direct provision of food.</w:t>
      </w:r>
    </w:p>
    <w:p w14:paraId="3FD8A71E" w14:textId="77777777" w:rsidR="00DF2CA8" w:rsidRDefault="00572503">
      <w:pPr>
        <w:pStyle w:val="ListParagraph"/>
        <w:numPr>
          <w:ilvl w:val="0"/>
          <w:numId w:val="11"/>
        </w:numPr>
        <w:spacing w:line="276" w:lineRule="auto"/>
        <w:jc w:val="both"/>
        <w:rPr>
          <w:rFonts w:ascii="Lato" w:hAnsi="Lato"/>
          <w:i w:val="0"/>
          <w:color w:val="0070C0"/>
          <w:sz w:val="24"/>
          <w:szCs w:val="24"/>
        </w:rPr>
      </w:pPr>
      <w:r>
        <w:rPr>
          <w:rFonts w:ascii="Lato" w:hAnsi="Lato"/>
          <w:i w:val="0"/>
          <w:sz w:val="24"/>
          <w:szCs w:val="24"/>
        </w:rPr>
        <w:lastRenderedPageBreak/>
        <w:t xml:space="preserve">Implementation is undertaken by Save the Children with local partner support, including Anhar for Peace, Development and Humanitarian Work Organization, in coordination with health and nutrition authorities. The </w:t>
      </w:r>
      <w:proofErr w:type="spellStart"/>
      <w:r>
        <w:rPr>
          <w:rFonts w:ascii="Lato" w:hAnsi="Lato"/>
          <w:i w:val="0"/>
          <w:sz w:val="24"/>
          <w:szCs w:val="24"/>
        </w:rPr>
        <w:t>programme</w:t>
      </w:r>
      <w:proofErr w:type="spellEnd"/>
      <w:r>
        <w:rPr>
          <w:rFonts w:ascii="Lato" w:hAnsi="Lato"/>
          <w:i w:val="0"/>
          <w:sz w:val="24"/>
          <w:szCs w:val="24"/>
        </w:rPr>
        <w:t xml:space="preserve"> also depends on functional referral relationships with OTP, TSFP and stabilization services and on the continuity of food and nutrition supplies.</w:t>
      </w:r>
    </w:p>
    <w:p w14:paraId="758FEFA7" w14:textId="77777777" w:rsidR="00DF2CA8" w:rsidRDefault="00572503">
      <w:pPr>
        <w:pStyle w:val="ListParagraph"/>
        <w:numPr>
          <w:ilvl w:val="0"/>
          <w:numId w:val="11"/>
        </w:numPr>
        <w:spacing w:line="276" w:lineRule="auto"/>
        <w:jc w:val="both"/>
        <w:rPr>
          <w:rFonts w:ascii="Lato" w:hAnsi="Lato"/>
          <w:i w:val="0"/>
          <w:color w:val="0070C0"/>
          <w:sz w:val="24"/>
          <w:szCs w:val="24"/>
        </w:rPr>
      </w:pPr>
      <w:r>
        <w:rPr>
          <w:rFonts w:ascii="Lato" w:hAnsi="Lato"/>
          <w:i w:val="0"/>
          <w:sz w:val="24"/>
          <w:szCs w:val="24"/>
        </w:rPr>
        <w:t xml:space="preserve">Available progress information indicates substantial service delivery but also important implementation variation. By the progress reporting point, 21,625 children under five had been screened for acute malnutrition, 442 children had received SAM treatment, and 2,489 children aged 6–23 months had received food-based prevention support. Caregivers had also received IYCF counselling and community-based </w:t>
      </w:r>
      <w:proofErr w:type="spellStart"/>
      <w:r>
        <w:rPr>
          <w:rFonts w:ascii="Lato" w:hAnsi="Lato"/>
          <w:i w:val="0"/>
          <w:sz w:val="24"/>
          <w:szCs w:val="24"/>
        </w:rPr>
        <w:t>Assida</w:t>
      </w:r>
      <w:proofErr w:type="spellEnd"/>
      <w:r>
        <w:rPr>
          <w:rFonts w:ascii="Lato" w:hAnsi="Lato"/>
          <w:i w:val="0"/>
          <w:sz w:val="24"/>
          <w:szCs w:val="24"/>
        </w:rPr>
        <w:t xml:space="preserve"> Plus training and cooking demonstrations.</w:t>
      </w:r>
    </w:p>
    <w:p w14:paraId="2DE9DDFE" w14:textId="77777777" w:rsidR="00DF2CA8" w:rsidRDefault="00572503">
      <w:pPr>
        <w:pStyle w:val="ListParagraph"/>
        <w:numPr>
          <w:ilvl w:val="0"/>
          <w:numId w:val="11"/>
        </w:numPr>
        <w:spacing w:line="276" w:lineRule="auto"/>
        <w:jc w:val="both"/>
        <w:rPr>
          <w:rFonts w:ascii="Lato" w:hAnsi="Lato"/>
          <w:i w:val="0"/>
          <w:iCs w:val="0"/>
          <w:color w:val="0070C0"/>
          <w:sz w:val="24"/>
          <w:szCs w:val="24"/>
        </w:rPr>
      </w:pPr>
      <w:r>
        <w:rPr>
          <w:rFonts w:ascii="Lato" w:hAnsi="Lato"/>
          <w:i w:val="0"/>
          <w:iCs w:val="0"/>
          <w:sz w:val="24"/>
          <w:szCs w:val="24"/>
        </w:rPr>
        <w:t>The same progress information documents operational constraints relevant to interpretation of end-line outcomes, including disruption to TSFP supplies, security and access constraints, population movement, high influxes of displaced people, and delays in selected training and support activities. These factors may have altered exposure, service continuity, referral completion and the counterfactual nutritional risk experienced by participants.</w:t>
      </w:r>
    </w:p>
    <w:p w14:paraId="7FF62AB8" w14:textId="77777777" w:rsidR="00DF2CA8" w:rsidRDefault="00572503">
      <w:pPr>
        <w:pStyle w:val="ListParagraph"/>
        <w:numPr>
          <w:ilvl w:val="0"/>
          <w:numId w:val="11"/>
        </w:numPr>
        <w:spacing w:line="276" w:lineRule="auto"/>
        <w:jc w:val="both"/>
        <w:rPr>
          <w:rFonts w:ascii="Lato" w:hAnsi="Lato"/>
          <w:i w:val="0"/>
          <w:color w:val="0070C0"/>
          <w:sz w:val="24"/>
          <w:szCs w:val="24"/>
        </w:rPr>
      </w:pPr>
      <w:r>
        <w:rPr>
          <w:rFonts w:ascii="Lato" w:hAnsi="Lato"/>
          <w:i w:val="0"/>
          <w:sz w:val="24"/>
          <w:szCs w:val="24"/>
        </w:rPr>
        <w:t xml:space="preserve">The study must therefore distinguish </w:t>
      </w:r>
      <w:proofErr w:type="spellStart"/>
      <w:r>
        <w:rPr>
          <w:rFonts w:ascii="Lato" w:hAnsi="Lato"/>
          <w:i w:val="0"/>
          <w:sz w:val="24"/>
          <w:szCs w:val="24"/>
        </w:rPr>
        <w:t>programme</w:t>
      </w:r>
      <w:proofErr w:type="spellEnd"/>
      <w:r>
        <w:rPr>
          <w:rFonts w:ascii="Lato" w:hAnsi="Lato"/>
          <w:i w:val="0"/>
          <w:sz w:val="24"/>
          <w:szCs w:val="24"/>
        </w:rPr>
        <w:t xml:space="preserve"> reach from </w:t>
      </w:r>
      <w:proofErr w:type="spellStart"/>
      <w:r>
        <w:rPr>
          <w:rFonts w:ascii="Lato" w:hAnsi="Lato"/>
          <w:i w:val="0"/>
          <w:sz w:val="24"/>
          <w:szCs w:val="24"/>
        </w:rPr>
        <w:t>programme</w:t>
      </w:r>
      <w:proofErr w:type="spellEnd"/>
      <w:r>
        <w:rPr>
          <w:rFonts w:ascii="Lato" w:hAnsi="Lato"/>
          <w:i w:val="0"/>
          <w:sz w:val="24"/>
          <w:szCs w:val="24"/>
        </w:rPr>
        <w:t xml:space="preserve"> effectiveness and explicitly examine implementation dose, continuity, fidelity, contextual shocks and co-interventions. It should assess the food-based component and Social and </w:t>
      </w:r>
      <w:proofErr w:type="spellStart"/>
      <w:r>
        <w:rPr>
          <w:rFonts w:ascii="Lato" w:hAnsi="Lato"/>
          <w:i w:val="0"/>
          <w:sz w:val="24"/>
          <w:szCs w:val="24"/>
        </w:rPr>
        <w:t>Behaviour</w:t>
      </w:r>
      <w:proofErr w:type="spellEnd"/>
      <w:r>
        <w:rPr>
          <w:rFonts w:ascii="Lato" w:hAnsi="Lato"/>
          <w:i w:val="0"/>
          <w:sz w:val="24"/>
          <w:szCs w:val="24"/>
        </w:rPr>
        <w:t xml:space="preserve"> Change/non-food components separately where exposure can be reconstructed; identify periods and locations with functional, interrupted or unavailable TSFP services; and test whether observed nutritional and </w:t>
      </w:r>
      <w:proofErr w:type="spellStart"/>
      <w:r>
        <w:rPr>
          <w:rFonts w:ascii="Lato" w:hAnsi="Lato"/>
          <w:i w:val="0"/>
          <w:sz w:val="24"/>
          <w:szCs w:val="24"/>
        </w:rPr>
        <w:t>behavioural</w:t>
      </w:r>
      <w:proofErr w:type="spellEnd"/>
      <w:r>
        <w:rPr>
          <w:rFonts w:ascii="Lato" w:hAnsi="Lato"/>
          <w:i w:val="0"/>
          <w:sz w:val="24"/>
          <w:szCs w:val="24"/>
        </w:rPr>
        <w:t xml:space="preserve"> outcomes are consistent with the </w:t>
      </w:r>
      <w:proofErr w:type="spellStart"/>
      <w:r>
        <w:rPr>
          <w:rFonts w:ascii="Lato" w:hAnsi="Lato"/>
          <w:i w:val="0"/>
          <w:sz w:val="24"/>
          <w:szCs w:val="24"/>
        </w:rPr>
        <w:t>programme’s</w:t>
      </w:r>
      <w:proofErr w:type="spellEnd"/>
      <w:r>
        <w:rPr>
          <w:rFonts w:ascii="Lato" w:hAnsi="Lato"/>
          <w:i w:val="0"/>
          <w:sz w:val="24"/>
          <w:szCs w:val="24"/>
        </w:rPr>
        <w:t xml:space="preserve"> </w:t>
      </w:r>
      <w:proofErr w:type="spellStart"/>
      <w:r>
        <w:rPr>
          <w:rFonts w:ascii="Lato" w:hAnsi="Lato"/>
          <w:i w:val="0"/>
          <w:sz w:val="24"/>
          <w:szCs w:val="24"/>
        </w:rPr>
        <w:t>hypothesised</w:t>
      </w:r>
      <w:proofErr w:type="spellEnd"/>
      <w:r>
        <w:rPr>
          <w:rFonts w:ascii="Lato" w:hAnsi="Lato"/>
          <w:i w:val="0"/>
          <w:sz w:val="24"/>
          <w:szCs w:val="24"/>
        </w:rPr>
        <w:t xml:space="preserve"> pathways while also examining plausible alternative explanations.</w:t>
      </w:r>
    </w:p>
    <w:p w14:paraId="21D1BFB2" w14:textId="77777777" w:rsidR="00DF2CA8" w:rsidRDefault="00572503">
      <w:pPr>
        <w:pStyle w:val="ListParagraph"/>
        <w:numPr>
          <w:ilvl w:val="0"/>
          <w:numId w:val="11"/>
        </w:numPr>
        <w:spacing w:line="276" w:lineRule="auto"/>
        <w:jc w:val="both"/>
        <w:rPr>
          <w:rFonts w:ascii="Lato" w:hAnsi="Lato"/>
          <w:i w:val="0"/>
          <w:iCs w:val="0"/>
          <w:color w:val="0070C0"/>
          <w:sz w:val="24"/>
          <w:szCs w:val="24"/>
        </w:rPr>
      </w:pPr>
      <w:r>
        <w:rPr>
          <w:rFonts w:ascii="Lato" w:hAnsi="Lato"/>
          <w:i w:val="0"/>
          <w:iCs w:val="0"/>
          <w:sz w:val="24"/>
          <w:szCs w:val="24"/>
        </w:rPr>
        <w:t xml:space="preserve">The study will make systematic use of </w:t>
      </w:r>
      <w:proofErr w:type="spellStart"/>
      <w:r>
        <w:rPr>
          <w:rFonts w:ascii="Lato" w:hAnsi="Lato"/>
          <w:i w:val="0"/>
          <w:iCs w:val="0"/>
          <w:sz w:val="24"/>
          <w:szCs w:val="24"/>
        </w:rPr>
        <w:t>programme</w:t>
      </w:r>
      <w:proofErr w:type="spellEnd"/>
      <w:r>
        <w:rPr>
          <w:rFonts w:ascii="Lato" w:hAnsi="Lato"/>
          <w:i w:val="0"/>
          <w:iCs w:val="0"/>
          <w:sz w:val="24"/>
          <w:szCs w:val="24"/>
        </w:rPr>
        <w:t xml:space="preserve"> records generated during implementation, with participant/patient cards as a central source for retrospective outcome analysis. This includes eligibility and enrolment records, distribution and attendance information, recorded MUAC and oedema, raw weight and height/length measurements, screening and referral records, CMAM treatment information, IYCF records subject to data-quality assessment, stock and supply data, training and supervision records, accountability data and relevant expenditure. Where weight and height/length were recorded but WHZ was not calculated during implementation, the study should retrospectively calculate WHZ using appropriate standards and document data-quality and plausibility rules. A structured chronology of security, access, supply and service interruptions should also be constructed so that changes in service continuity can be examined alongside screening, treatment and nutrition trends.</w:t>
      </w:r>
    </w:p>
    <w:p w14:paraId="06B3C40B" w14:textId="77777777" w:rsidR="00DF2CA8" w:rsidRDefault="00572503">
      <w:pPr>
        <w:jc w:val="both"/>
        <w:rPr>
          <w:rFonts w:ascii="Lato" w:hAnsi="Lato" w:cstheme="minorHAnsi"/>
          <w:sz w:val="24"/>
          <w:szCs w:val="24"/>
        </w:rPr>
      </w:pPr>
      <w:r>
        <w:rPr>
          <w:rFonts w:ascii="Lato" w:hAnsi="Lato"/>
          <w:sz w:val="24"/>
          <w:szCs w:val="24"/>
        </w:rPr>
        <w:t xml:space="preserve">The end-line is expected to produce both programme-accountability evidence and a technically robust evidence base for future decisions on adaptation, continuation and scale. Results must be disaggregated and interpreted in relation to sex, age, disability, </w:t>
      </w:r>
      <w:r>
        <w:rPr>
          <w:rFonts w:ascii="Lato" w:hAnsi="Lato"/>
          <w:sz w:val="24"/>
          <w:szCs w:val="24"/>
        </w:rPr>
        <w:lastRenderedPageBreak/>
        <w:t>displacement status, geographic access/remoteness and household vulnerability, with explicit attention to data quality and limitations.</w:t>
      </w:r>
    </w:p>
    <w:p w14:paraId="39748C33" w14:textId="77777777" w:rsidR="00DF2CA8" w:rsidRDefault="00572503">
      <w:pPr>
        <w:pStyle w:val="Heading1"/>
        <w:rPr>
          <w:rFonts w:ascii="Lato" w:hAnsi="Lato"/>
          <w:sz w:val="24"/>
          <w:szCs w:val="24"/>
        </w:rPr>
      </w:pPr>
      <w:bookmarkStart w:id="3" w:name="_Toc61945684"/>
      <w:r>
        <w:rPr>
          <w:rFonts w:ascii="Lato" w:hAnsi="Lato"/>
          <w:sz w:val="24"/>
          <w:szCs w:val="24"/>
        </w:rPr>
        <w:t>Scope of Study</w:t>
      </w:r>
      <w:bookmarkEnd w:id="3"/>
    </w:p>
    <w:p w14:paraId="47334ED4" w14:textId="77777777" w:rsidR="00DF2CA8" w:rsidRDefault="00572503">
      <w:pPr>
        <w:pStyle w:val="Heading2"/>
        <w:rPr>
          <w:rFonts w:ascii="Lato" w:hAnsi="Lato"/>
          <w:sz w:val="24"/>
          <w:szCs w:val="24"/>
        </w:rPr>
      </w:pPr>
      <w:bookmarkStart w:id="4" w:name="_Toc61945685"/>
      <w:r>
        <w:rPr>
          <w:rFonts w:ascii="Lato" w:hAnsi="Lato"/>
          <w:sz w:val="24"/>
          <w:szCs w:val="24"/>
        </w:rPr>
        <w:t>Purpose, Objectives and Scope</w:t>
      </w:r>
      <w:bookmarkEnd w:id="4"/>
    </w:p>
    <w:p w14:paraId="1663EDBD" w14:textId="77777777" w:rsidR="00DF2CA8" w:rsidRDefault="00572503" w:rsidP="009F1014">
      <w:pPr>
        <w:pStyle w:val="ListBullet"/>
        <w:numPr>
          <w:ilvl w:val="0"/>
          <w:numId w:val="0"/>
        </w:numPr>
        <w:tabs>
          <w:tab w:val="clear" w:pos="227"/>
        </w:tabs>
        <w:jc w:val="both"/>
        <w:rPr>
          <w:rFonts w:ascii="Lato" w:hAnsi="Lato"/>
          <w:color w:val="0070C0"/>
          <w:sz w:val="24"/>
          <w:szCs w:val="24"/>
        </w:rPr>
      </w:pPr>
      <w:r>
        <w:rPr>
          <w:rFonts w:ascii="Lato" w:hAnsi="Lato"/>
          <w:sz w:val="24"/>
          <w:szCs w:val="24"/>
        </w:rPr>
        <w:t xml:space="preserve">This study is being conducted at the end of the project implementation period and will draw on the full period of available </w:t>
      </w:r>
      <w:proofErr w:type="spellStart"/>
      <w:r>
        <w:rPr>
          <w:rFonts w:ascii="Lato" w:hAnsi="Lato"/>
          <w:sz w:val="24"/>
          <w:szCs w:val="24"/>
        </w:rPr>
        <w:t>Assida</w:t>
      </w:r>
      <w:proofErr w:type="spellEnd"/>
      <w:r>
        <w:rPr>
          <w:rFonts w:ascii="Lato" w:hAnsi="Lato"/>
          <w:sz w:val="24"/>
          <w:szCs w:val="24"/>
        </w:rPr>
        <w:t xml:space="preserve"> Plus implementation data together with primary end-line data collected in Tawila.</w:t>
      </w:r>
    </w:p>
    <w:p w14:paraId="12A43385" w14:textId="77777777" w:rsidR="00DF2CA8" w:rsidRDefault="00DF2CA8" w:rsidP="009F1014">
      <w:pPr>
        <w:pStyle w:val="ListBullet"/>
        <w:numPr>
          <w:ilvl w:val="0"/>
          <w:numId w:val="0"/>
        </w:numPr>
        <w:tabs>
          <w:tab w:val="clear" w:pos="227"/>
        </w:tabs>
        <w:jc w:val="both"/>
        <w:rPr>
          <w:rFonts w:ascii="Lato" w:hAnsi="Lato"/>
          <w:sz w:val="24"/>
          <w:szCs w:val="24"/>
        </w:rPr>
      </w:pPr>
    </w:p>
    <w:p w14:paraId="40593036" w14:textId="77777777" w:rsidR="00DF2CA8" w:rsidRDefault="00572503" w:rsidP="009F1014">
      <w:pPr>
        <w:pStyle w:val="ListBullet"/>
        <w:numPr>
          <w:ilvl w:val="0"/>
          <w:numId w:val="0"/>
        </w:numPr>
        <w:tabs>
          <w:tab w:val="clear" w:pos="227"/>
        </w:tabs>
        <w:jc w:val="both"/>
        <w:rPr>
          <w:rFonts w:ascii="Lato" w:hAnsi="Lato"/>
          <w:sz w:val="24"/>
          <w:szCs w:val="24"/>
        </w:rPr>
      </w:pPr>
      <w:r>
        <w:rPr>
          <w:rFonts w:ascii="Lato" w:hAnsi="Lato"/>
          <w:sz w:val="24"/>
          <w:szCs w:val="24"/>
        </w:rPr>
        <w:t>The study is designed as an end-line outcome and implementation study rather than a simple output verification exercise. It will examine nutritional outcomes and programme mechanisms alongside implementation quality, reach, acceptability, equity, cost and sustainability, and will separate causal claims from contribution-based conclusions according to the strength of the available design.</w:t>
      </w:r>
    </w:p>
    <w:p w14:paraId="389B589E" w14:textId="77777777" w:rsidR="00DF2CA8" w:rsidRDefault="00572503" w:rsidP="009F1014">
      <w:pPr>
        <w:jc w:val="both"/>
        <w:rPr>
          <w:rFonts w:ascii="Lato" w:hAnsi="Lato"/>
          <w:iCs/>
          <w:color w:val="auto"/>
          <w:sz w:val="24"/>
          <w:szCs w:val="24"/>
        </w:rPr>
      </w:pPr>
      <w:r>
        <w:rPr>
          <w:rFonts w:ascii="Lato" w:hAnsi="Lato"/>
          <w:iCs/>
          <w:sz w:val="24"/>
          <w:szCs w:val="24"/>
        </w:rPr>
        <w:t xml:space="preserve">The primary purpose of the study is to generate credible, decision-relevant evidence on the effectiveness, implementation performance, safety, acceptability, cost-efficiency, sustainability and scalability of </w:t>
      </w:r>
      <w:proofErr w:type="spellStart"/>
      <w:r>
        <w:rPr>
          <w:rFonts w:ascii="Lato" w:hAnsi="Lato"/>
          <w:iCs/>
          <w:sz w:val="24"/>
          <w:szCs w:val="24"/>
        </w:rPr>
        <w:t>Assida</w:t>
      </w:r>
      <w:proofErr w:type="spellEnd"/>
      <w:r>
        <w:rPr>
          <w:rFonts w:ascii="Lato" w:hAnsi="Lato"/>
          <w:iCs/>
          <w:sz w:val="24"/>
          <w:szCs w:val="24"/>
        </w:rPr>
        <w:t xml:space="preserve"> Plus as a preventive nutrition approach in Tawila, and to explain the programme, household, service-delivery and contextual factors associated with outcomes. Particular attention will be given to prevention of new MAM/SAM episodes, outcomes during gaps in targeted supplementary feeding services, barriers to preventive nutrition in hard-to-reach settings, and the feasibility and performance of local production or preparation arrangements where these form part of delivery.</w:t>
      </w:r>
    </w:p>
    <w:p w14:paraId="3AA36670" w14:textId="77777777" w:rsidR="00DF2CA8" w:rsidRDefault="00572503" w:rsidP="009F1014">
      <w:pPr>
        <w:jc w:val="both"/>
        <w:rPr>
          <w:rFonts w:ascii="Lato" w:hAnsi="Lato"/>
          <w:color w:val="0070C0"/>
          <w:sz w:val="24"/>
          <w:szCs w:val="24"/>
        </w:rPr>
      </w:pPr>
      <w:r>
        <w:rPr>
          <w:rFonts w:ascii="Lato" w:hAnsi="Lato"/>
          <w:sz w:val="24"/>
          <w:szCs w:val="24"/>
        </w:rPr>
        <w:t xml:space="preserve">The overarching study question is: To what extent, through what mechanisms, and under which programme, service-delivery and contextual conditions did </w:t>
      </w:r>
      <w:proofErr w:type="spellStart"/>
      <w:r>
        <w:rPr>
          <w:rFonts w:ascii="Lato" w:hAnsi="Lato"/>
          <w:sz w:val="24"/>
          <w:szCs w:val="24"/>
        </w:rPr>
        <w:t>Assida</w:t>
      </w:r>
      <w:proofErr w:type="spellEnd"/>
      <w:r>
        <w:rPr>
          <w:rFonts w:ascii="Lato" w:hAnsi="Lato"/>
          <w:sz w:val="24"/>
          <w:szCs w:val="24"/>
        </w:rPr>
        <w:t xml:space="preserve"> Plus contribute to prevention of acute malnutrition and improved nutrition-related practices and service pathways among eligible children and families in Tawila?</w:t>
      </w:r>
    </w:p>
    <w:p w14:paraId="299DA3A4" w14:textId="77777777" w:rsidR="00DF2CA8" w:rsidRDefault="00572503" w:rsidP="009F1014">
      <w:pPr>
        <w:jc w:val="both"/>
        <w:rPr>
          <w:rFonts w:ascii="Lato" w:hAnsi="Lato"/>
          <w:sz w:val="24"/>
          <w:szCs w:val="24"/>
        </w:rPr>
      </w:pPr>
      <w:r>
        <w:rPr>
          <w:rFonts w:ascii="Lato" w:hAnsi="Lato"/>
          <w:sz w:val="24"/>
          <w:szCs w:val="24"/>
        </w:rPr>
        <w:t>The study will pursue the following linked objectives: quantify nutritional status and trajectories using available longitudinal measurements; retrospectively identify new MAM/SAM episodes, including cases detected through calculated WHZ, and assess subsequent recovery, treatment/referral outcomes and relapse where measurable; assess minimum acceptable diet and other feeding practices; examine recent morbidity, immunisation and care-seeking; assess food access and household coping; determine programme reach, dose and fidelity; compare outcomes across different package exposures and periods of TSFP functionality where feasible; identify barriers, facilitators, safety and inclusion issues; assess provider training, capacity and service integration; estimate programme and, where relevant, local production costs and cost drivers; and identify conditions necessary for sustainability and responsible scale-up.</w:t>
      </w:r>
    </w:p>
    <w:p w14:paraId="236FE2BD" w14:textId="77777777" w:rsidR="009F1014" w:rsidRDefault="009F1014" w:rsidP="009F1014">
      <w:pPr>
        <w:jc w:val="both"/>
        <w:rPr>
          <w:rFonts w:ascii="Lato" w:hAnsi="Lato"/>
          <w:sz w:val="24"/>
          <w:szCs w:val="24"/>
        </w:rPr>
      </w:pPr>
    </w:p>
    <w:p w14:paraId="1C3EDCFE" w14:textId="77777777" w:rsidR="009F1014" w:rsidRDefault="009F1014" w:rsidP="009F1014">
      <w:pPr>
        <w:jc w:val="both"/>
        <w:rPr>
          <w:rFonts w:ascii="Lato" w:hAnsi="Lato"/>
          <w:sz w:val="24"/>
          <w:szCs w:val="24"/>
        </w:rPr>
      </w:pPr>
    </w:p>
    <w:p w14:paraId="3E9B32B3" w14:textId="77777777" w:rsidR="009F1014" w:rsidRDefault="009F1014" w:rsidP="009F1014">
      <w:pPr>
        <w:jc w:val="both"/>
        <w:rPr>
          <w:rFonts w:ascii="Lato" w:hAnsi="Lato"/>
          <w:color w:val="0070C0"/>
          <w:sz w:val="24"/>
          <w:szCs w:val="24"/>
        </w:rPr>
      </w:pPr>
    </w:p>
    <w:tbl>
      <w:tblPr>
        <w:tblStyle w:val="TableGrid"/>
        <w:tblW w:w="9067" w:type="dxa"/>
        <w:tblLayout w:type="fixed"/>
        <w:tblLook w:val="04A0" w:firstRow="1" w:lastRow="0" w:firstColumn="1" w:lastColumn="0" w:noHBand="0" w:noVBand="1"/>
      </w:tblPr>
      <w:tblGrid>
        <w:gridCol w:w="1982"/>
        <w:gridCol w:w="7085"/>
      </w:tblGrid>
      <w:tr w:rsidR="00DF2CA8" w14:paraId="742A435C" w14:textId="77777777" w:rsidTr="009F1014">
        <w:tc>
          <w:tcPr>
            <w:tcW w:w="1982" w:type="dxa"/>
            <w:tcBorders>
              <w:top w:val="single" w:sz="12" w:space="0" w:color="C00000"/>
              <w:left w:val="single" w:sz="12" w:space="0" w:color="C00000"/>
              <w:bottom w:val="single" w:sz="4" w:space="0" w:color="000000"/>
              <w:right w:val="single" w:sz="4" w:space="0" w:color="000000"/>
            </w:tcBorders>
          </w:tcPr>
          <w:p w14:paraId="1F9B92F6" w14:textId="77777777" w:rsidR="00DF2CA8" w:rsidRDefault="00572503">
            <w:pPr>
              <w:spacing w:after="0"/>
              <w:rPr>
                <w:rFonts w:ascii="Lato" w:hAnsi="Lato"/>
                <w:b/>
                <w:bCs/>
                <w:color w:val="auto"/>
                <w:sz w:val="24"/>
                <w:szCs w:val="24"/>
              </w:rPr>
            </w:pPr>
            <w:r>
              <w:rPr>
                <w:rFonts w:ascii="Lato" w:hAnsi="Lato"/>
                <w:b/>
                <w:bCs/>
                <w:sz w:val="24"/>
                <w:szCs w:val="24"/>
              </w:rPr>
              <w:t>Type of Evaluation</w:t>
            </w:r>
          </w:p>
        </w:tc>
        <w:tc>
          <w:tcPr>
            <w:tcW w:w="7084" w:type="dxa"/>
            <w:tcBorders>
              <w:top w:val="single" w:sz="12" w:space="0" w:color="C00000"/>
              <w:left w:val="single" w:sz="4" w:space="0" w:color="000000"/>
              <w:bottom w:val="single" w:sz="4" w:space="0" w:color="000000"/>
              <w:right w:val="single" w:sz="12" w:space="0" w:color="C00000"/>
            </w:tcBorders>
          </w:tcPr>
          <w:p w14:paraId="2E61ACAD" w14:textId="77777777" w:rsidR="00DF2CA8" w:rsidRDefault="00572503">
            <w:pPr>
              <w:spacing w:after="0"/>
              <w:rPr>
                <w:rFonts w:ascii="Lato" w:hAnsi="Lato"/>
                <w:b/>
                <w:iCs/>
                <w:color w:val="auto"/>
                <w:sz w:val="24"/>
                <w:szCs w:val="24"/>
              </w:rPr>
            </w:pPr>
            <w:r>
              <w:rPr>
                <w:rFonts w:ascii="Lato" w:hAnsi="Lato"/>
                <w:b/>
                <w:iCs/>
                <w:sz w:val="24"/>
                <w:szCs w:val="24"/>
              </w:rPr>
              <w:t>Overarching objectives/questions</w:t>
            </w:r>
          </w:p>
        </w:tc>
      </w:tr>
      <w:tr w:rsidR="00DF2CA8" w14:paraId="73DBBABB" w14:textId="77777777" w:rsidTr="009F1014">
        <w:tc>
          <w:tcPr>
            <w:tcW w:w="1982" w:type="dxa"/>
            <w:tcBorders>
              <w:top w:val="single" w:sz="4" w:space="0" w:color="000000"/>
              <w:left w:val="single" w:sz="12" w:space="0" w:color="C00000"/>
              <w:bottom w:val="single" w:sz="4" w:space="0" w:color="000000"/>
              <w:right w:val="single" w:sz="4" w:space="0" w:color="000000"/>
            </w:tcBorders>
          </w:tcPr>
          <w:p w14:paraId="14670A73" w14:textId="77777777" w:rsidR="00DF2CA8" w:rsidRDefault="00572503">
            <w:pPr>
              <w:spacing w:after="0"/>
              <w:rPr>
                <w:rFonts w:ascii="Lato" w:hAnsi="Lato"/>
                <w:iCs/>
                <w:color w:val="0070C0"/>
                <w:sz w:val="24"/>
                <w:szCs w:val="24"/>
              </w:rPr>
            </w:pPr>
            <w:r>
              <w:rPr>
                <w:rFonts w:ascii="Lato" w:hAnsi="Lato"/>
                <w:iCs/>
                <w:sz w:val="24"/>
                <w:szCs w:val="24"/>
              </w:rPr>
              <w:lastRenderedPageBreak/>
              <w:t>Formative</w:t>
            </w:r>
          </w:p>
        </w:tc>
        <w:tc>
          <w:tcPr>
            <w:tcW w:w="7084" w:type="dxa"/>
            <w:tcBorders>
              <w:top w:val="single" w:sz="4" w:space="0" w:color="000000"/>
              <w:left w:val="single" w:sz="4" w:space="0" w:color="000000"/>
              <w:bottom w:val="single" w:sz="4" w:space="0" w:color="000000"/>
              <w:right w:val="single" w:sz="12" w:space="0" w:color="C00000"/>
            </w:tcBorders>
          </w:tcPr>
          <w:p w14:paraId="50089227"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 xml:space="preserve">Assess the feasibility, contextual appropriateness, cultural acceptability and perceived usefulness of the </w:t>
            </w:r>
            <w:proofErr w:type="spellStart"/>
            <w:r>
              <w:rPr>
                <w:rFonts w:ascii="Lato" w:hAnsi="Lato"/>
                <w:i w:val="0"/>
                <w:iCs w:val="0"/>
                <w:sz w:val="24"/>
                <w:szCs w:val="24"/>
                <w:lang w:val="en-GB"/>
              </w:rPr>
              <w:t>Assida</w:t>
            </w:r>
            <w:proofErr w:type="spellEnd"/>
            <w:r>
              <w:rPr>
                <w:rFonts w:ascii="Lato" w:hAnsi="Lato"/>
                <w:i w:val="0"/>
                <w:iCs w:val="0"/>
                <w:sz w:val="24"/>
                <w:szCs w:val="24"/>
                <w:lang w:val="en-GB"/>
              </w:rPr>
              <w:t xml:space="preserve"> Plus package, including the food ration, Social and Behaviour Change activities, screening and referral functions.</w:t>
            </w:r>
          </w:p>
        </w:tc>
      </w:tr>
      <w:tr w:rsidR="00DF2CA8" w14:paraId="19F10411" w14:textId="77777777" w:rsidTr="009F1014">
        <w:tc>
          <w:tcPr>
            <w:tcW w:w="1982" w:type="dxa"/>
            <w:tcBorders>
              <w:top w:val="single" w:sz="4" w:space="0" w:color="000000"/>
              <w:left w:val="single" w:sz="12" w:space="0" w:color="C00000"/>
              <w:bottom w:val="single" w:sz="4" w:space="0" w:color="000000"/>
              <w:right w:val="single" w:sz="4" w:space="0" w:color="000000"/>
            </w:tcBorders>
          </w:tcPr>
          <w:p w14:paraId="4F978C99" w14:textId="77777777" w:rsidR="00DF2CA8" w:rsidRDefault="00572503">
            <w:pPr>
              <w:spacing w:after="0"/>
              <w:rPr>
                <w:rFonts w:ascii="Lato" w:hAnsi="Lato"/>
                <w:color w:val="0070C0"/>
                <w:sz w:val="24"/>
                <w:szCs w:val="24"/>
              </w:rPr>
            </w:pPr>
            <w:r>
              <w:rPr>
                <w:rFonts w:ascii="Lato" w:hAnsi="Lato"/>
                <w:sz w:val="24"/>
                <w:szCs w:val="24"/>
              </w:rPr>
              <w:t>Implementation/</w:t>
            </w:r>
            <w:r>
              <w:rPr>
                <w:rFonts w:ascii="Lato" w:hAnsi="Lato"/>
                <w:sz w:val="24"/>
                <w:szCs w:val="24"/>
              </w:rPr>
              <w:br/>
              <w:t>Process</w:t>
            </w:r>
          </w:p>
        </w:tc>
        <w:tc>
          <w:tcPr>
            <w:tcW w:w="7084" w:type="dxa"/>
            <w:tcBorders>
              <w:top w:val="single" w:sz="4" w:space="0" w:color="000000"/>
              <w:left w:val="single" w:sz="4" w:space="0" w:color="000000"/>
              <w:bottom w:val="single" w:sz="4" w:space="0" w:color="000000"/>
              <w:right w:val="single" w:sz="12" w:space="0" w:color="C00000"/>
            </w:tcBorders>
          </w:tcPr>
          <w:p w14:paraId="03F99C62"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Assess fidelity, reach, dose, continuity, quality and coordination of implementation; identify barriers and facilitators affecting enrolment, attendance, ration continuity, screening, referral completion, IYCF linkage and provider performance; explain how implementation influenced outcomes.</w:t>
            </w:r>
          </w:p>
        </w:tc>
      </w:tr>
      <w:tr w:rsidR="00DF2CA8" w14:paraId="24541930" w14:textId="77777777" w:rsidTr="009F1014">
        <w:tc>
          <w:tcPr>
            <w:tcW w:w="1982" w:type="dxa"/>
            <w:tcBorders>
              <w:top w:val="single" w:sz="4" w:space="0" w:color="000000"/>
              <w:left w:val="single" w:sz="12" w:space="0" w:color="C00000"/>
              <w:bottom w:val="single" w:sz="4" w:space="0" w:color="000000"/>
              <w:right w:val="single" w:sz="4" w:space="0" w:color="000000"/>
            </w:tcBorders>
          </w:tcPr>
          <w:p w14:paraId="4E35B6F3" w14:textId="77777777" w:rsidR="00DF2CA8" w:rsidRDefault="00572503">
            <w:pPr>
              <w:rPr>
                <w:rFonts w:ascii="Lato" w:hAnsi="Lato"/>
                <w:color w:val="0070C0"/>
                <w:sz w:val="24"/>
                <w:szCs w:val="24"/>
              </w:rPr>
            </w:pPr>
            <w:r>
              <w:rPr>
                <w:rFonts w:ascii="Lato" w:hAnsi="Lato"/>
                <w:sz w:val="24"/>
                <w:szCs w:val="24"/>
              </w:rPr>
              <w:t>Outcome</w:t>
            </w:r>
          </w:p>
        </w:tc>
        <w:tc>
          <w:tcPr>
            <w:tcW w:w="7084" w:type="dxa"/>
            <w:tcBorders>
              <w:top w:val="single" w:sz="4" w:space="0" w:color="000000"/>
              <w:left w:val="single" w:sz="4" w:space="0" w:color="000000"/>
              <w:bottom w:val="single" w:sz="4" w:space="0" w:color="000000"/>
              <w:right w:val="single" w:sz="12" w:space="0" w:color="C00000"/>
            </w:tcBorders>
          </w:tcPr>
          <w:p w14:paraId="7DB859A5"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Determine nutrition, feeding and health-related outcomes among eligible/exposed children and households, using retrospective patient-card trajectories and targeted end-line caregiver evidence. Outcomes will include MUAC/WHZ status and change, new MAM/SAM episodes, subsequent recovery or deterioration, treatment/referral outcomes and relapse where measurable; minimum acceptable diet and relevant IYCF practices; morbidity, immunisation, care-seeking and food-access/coping indicators.</w:t>
            </w:r>
          </w:p>
        </w:tc>
      </w:tr>
      <w:tr w:rsidR="00DF2CA8" w14:paraId="175DD463" w14:textId="77777777" w:rsidTr="009F1014">
        <w:trPr>
          <w:trHeight w:val="983"/>
        </w:trPr>
        <w:tc>
          <w:tcPr>
            <w:tcW w:w="1982" w:type="dxa"/>
            <w:tcBorders>
              <w:top w:val="single" w:sz="4" w:space="0" w:color="000000"/>
              <w:left w:val="single" w:sz="12" w:space="0" w:color="C00000"/>
              <w:bottom w:val="single" w:sz="4" w:space="0" w:color="000000"/>
              <w:right w:val="single" w:sz="4" w:space="0" w:color="000000"/>
            </w:tcBorders>
          </w:tcPr>
          <w:p w14:paraId="4956FEDC" w14:textId="77777777" w:rsidR="00DF2CA8" w:rsidRDefault="00572503">
            <w:pPr>
              <w:spacing w:after="0"/>
              <w:rPr>
                <w:rFonts w:ascii="Lato" w:hAnsi="Lato"/>
                <w:iCs/>
                <w:color w:val="0070C0"/>
                <w:sz w:val="24"/>
                <w:szCs w:val="24"/>
              </w:rPr>
            </w:pPr>
            <w:r>
              <w:rPr>
                <w:rFonts w:ascii="Lato" w:hAnsi="Lato"/>
                <w:iCs/>
                <w:sz w:val="24"/>
                <w:szCs w:val="24"/>
              </w:rPr>
              <w:t>Impact</w:t>
            </w:r>
          </w:p>
        </w:tc>
        <w:tc>
          <w:tcPr>
            <w:tcW w:w="7084" w:type="dxa"/>
            <w:tcBorders>
              <w:top w:val="single" w:sz="4" w:space="0" w:color="000000"/>
              <w:left w:val="single" w:sz="4" w:space="0" w:color="000000"/>
              <w:bottom w:val="single" w:sz="4" w:space="0" w:color="000000"/>
              <w:right w:val="single" w:sz="12" w:space="0" w:color="C00000"/>
            </w:tcBorders>
          </w:tcPr>
          <w:p w14:paraId="297C0F25" w14:textId="77777777" w:rsidR="00DF2CA8" w:rsidRDefault="00572503">
            <w:pPr>
              <w:pStyle w:val="ListParagraph"/>
              <w:numPr>
                <w:ilvl w:val="0"/>
                <w:numId w:val="7"/>
              </w:numPr>
              <w:spacing w:after="0"/>
              <w:rPr>
                <w:rFonts w:ascii="Lato" w:hAnsi="Lato"/>
                <w:i w:val="0"/>
                <w:iCs w:val="0"/>
                <w:color w:val="0070C0"/>
                <w:sz w:val="24"/>
                <w:szCs w:val="24"/>
                <w:lang w:val="en-GB"/>
              </w:rPr>
            </w:pPr>
            <w:r>
              <w:rPr>
                <w:rFonts w:ascii="Lato" w:hAnsi="Lato"/>
                <w:i w:val="0"/>
                <w:iCs w:val="0"/>
                <w:sz w:val="24"/>
                <w:szCs w:val="24"/>
                <w:lang w:val="en-GB"/>
              </w:rPr>
              <w:t xml:space="preserve">Assess the contribution of </w:t>
            </w:r>
            <w:proofErr w:type="spellStart"/>
            <w:r>
              <w:rPr>
                <w:rFonts w:ascii="Lato" w:hAnsi="Lato"/>
                <w:i w:val="0"/>
                <w:iCs w:val="0"/>
                <w:sz w:val="24"/>
                <w:szCs w:val="24"/>
                <w:lang w:val="en-GB"/>
              </w:rPr>
              <w:t>Assida</w:t>
            </w:r>
            <w:proofErr w:type="spellEnd"/>
            <w:r>
              <w:rPr>
                <w:rFonts w:ascii="Lato" w:hAnsi="Lato"/>
                <w:i w:val="0"/>
                <w:iCs w:val="0"/>
                <w:sz w:val="24"/>
                <w:szCs w:val="24"/>
                <w:lang w:val="en-GB"/>
              </w:rPr>
              <w:t xml:space="preserve"> Plus to observed outcomes and the mechanisms through which change occurred, comparing package components, exposure intensity and periods of TSFP functionality where feasible, and using repeated programme measurements and an appropriately matched comparison only when credible. Causal attribution must only be made when the design and assumptions support it.</w:t>
            </w:r>
          </w:p>
        </w:tc>
      </w:tr>
      <w:tr w:rsidR="00DF2CA8" w14:paraId="13D26A77" w14:textId="77777777" w:rsidTr="009F1014">
        <w:tc>
          <w:tcPr>
            <w:tcW w:w="1982" w:type="dxa"/>
            <w:tcBorders>
              <w:top w:val="single" w:sz="4" w:space="0" w:color="000000"/>
              <w:left w:val="single" w:sz="12" w:space="0" w:color="C00000"/>
              <w:bottom w:val="single" w:sz="12" w:space="0" w:color="C00000"/>
              <w:right w:val="single" w:sz="4" w:space="0" w:color="000000"/>
            </w:tcBorders>
          </w:tcPr>
          <w:p w14:paraId="05A99A8F" w14:textId="77777777" w:rsidR="00DF2CA8" w:rsidRDefault="00572503">
            <w:pPr>
              <w:spacing w:after="0"/>
              <w:rPr>
                <w:rFonts w:ascii="Lato" w:hAnsi="Lato"/>
                <w:iCs/>
                <w:color w:val="0070C0"/>
                <w:sz w:val="24"/>
                <w:szCs w:val="24"/>
              </w:rPr>
            </w:pPr>
            <w:r>
              <w:rPr>
                <w:rFonts w:ascii="Lato" w:hAnsi="Lato"/>
                <w:iCs/>
                <w:sz w:val="24"/>
                <w:szCs w:val="24"/>
              </w:rPr>
              <w:t>Economic</w:t>
            </w:r>
          </w:p>
        </w:tc>
        <w:tc>
          <w:tcPr>
            <w:tcW w:w="7084" w:type="dxa"/>
            <w:tcBorders>
              <w:top w:val="single" w:sz="4" w:space="0" w:color="000000"/>
              <w:left w:val="single" w:sz="4" w:space="0" w:color="000000"/>
              <w:bottom w:val="single" w:sz="12" w:space="0" w:color="C00000"/>
              <w:right w:val="single" w:sz="12" w:space="0" w:color="C00000"/>
            </w:tcBorders>
          </w:tcPr>
          <w:p w14:paraId="569B0317" w14:textId="77777777" w:rsidR="00DF2CA8" w:rsidRDefault="00572503">
            <w:pPr>
              <w:pStyle w:val="ListParagraph"/>
              <w:numPr>
                <w:ilvl w:val="0"/>
                <w:numId w:val="7"/>
              </w:numPr>
              <w:spacing w:after="0"/>
              <w:rPr>
                <w:rFonts w:ascii="Lato" w:hAnsi="Lato"/>
                <w:i w:val="0"/>
                <w:iCs w:val="0"/>
                <w:color w:val="0070C0"/>
                <w:sz w:val="24"/>
                <w:szCs w:val="24"/>
                <w:lang w:val="en-GB"/>
              </w:rPr>
            </w:pPr>
            <w:r>
              <w:rPr>
                <w:rFonts w:ascii="Lato" w:hAnsi="Lato"/>
                <w:i w:val="0"/>
                <w:sz w:val="24"/>
                <w:szCs w:val="24"/>
                <w:lang w:val="en-GB"/>
              </w:rPr>
              <w:t>Estimate programme delivery costs, unit costs, major cost drivers and operational resource requirements; assess cost-efficiency and, where outcome linkage is sufficiently robust, exploratory cost-effectiveness. Where local production/preparation is relevant, assess quality assurance, unit and operational costs, supply capacity, workforce requirements, regulatory conditions and resource implications for sustainability and scale.</w:t>
            </w:r>
          </w:p>
        </w:tc>
      </w:tr>
    </w:tbl>
    <w:p w14:paraId="0A4B1A4B" w14:textId="77777777" w:rsidR="00DF2CA8" w:rsidRDefault="00DF2CA8">
      <w:pPr>
        <w:rPr>
          <w:rFonts w:ascii="Lato" w:hAnsi="Lato"/>
          <w:color w:val="auto"/>
          <w:sz w:val="24"/>
          <w:szCs w:val="24"/>
        </w:rPr>
      </w:pPr>
    </w:p>
    <w:p w14:paraId="7E3C7886" w14:textId="77777777" w:rsidR="00DF2CA8" w:rsidRDefault="00572503">
      <w:pPr>
        <w:jc w:val="both"/>
        <w:rPr>
          <w:rFonts w:ascii="Lato" w:hAnsi="Lato"/>
          <w:color w:val="0070C0"/>
          <w:sz w:val="24"/>
          <w:szCs w:val="24"/>
        </w:rPr>
      </w:pPr>
      <w:r>
        <w:rPr>
          <w:rFonts w:ascii="Lato" w:hAnsi="Lato"/>
          <w:sz w:val="24"/>
          <w:szCs w:val="24"/>
        </w:rPr>
        <w:t xml:space="preserve">The study should place particular analytical emphasis on the distinction between the food-based prevention component, Social and Behaviour Change/non-food exposure, </w:t>
      </w:r>
      <w:r>
        <w:rPr>
          <w:rFonts w:ascii="Lato" w:hAnsi="Lato"/>
          <w:sz w:val="24"/>
          <w:szCs w:val="24"/>
        </w:rPr>
        <w:lastRenderedPageBreak/>
        <w:t xml:space="preserve">screening/referral functions and associated IYCF/health linkages. Exposure to these components should be reconstructed separately from records and caregiver reports so that dose-response and pathway analyses are possible where the data support them. The analysis should also classify sites and time periods according to TSFP functionality and examine outcomes among children who developed MAM/SAM during programme participation, including what happened subsequently when they continued receiving </w:t>
      </w:r>
      <w:proofErr w:type="spellStart"/>
      <w:r>
        <w:rPr>
          <w:rFonts w:ascii="Lato" w:hAnsi="Lato"/>
          <w:sz w:val="24"/>
          <w:szCs w:val="24"/>
        </w:rPr>
        <w:t>Assida</w:t>
      </w:r>
      <w:proofErr w:type="spellEnd"/>
      <w:r>
        <w:rPr>
          <w:rFonts w:ascii="Lato" w:hAnsi="Lato"/>
          <w:sz w:val="24"/>
          <w:szCs w:val="24"/>
        </w:rPr>
        <w:t xml:space="preserve"> Plus and/or accessed treatment.</w:t>
      </w:r>
    </w:p>
    <w:p w14:paraId="70E89F3E" w14:textId="62374961" w:rsidR="00DF2CA8" w:rsidRDefault="00572503">
      <w:pPr>
        <w:jc w:val="both"/>
        <w:rPr>
          <w:rFonts w:ascii="Lato" w:hAnsi="Lato"/>
          <w:iCs/>
          <w:color w:val="auto"/>
          <w:sz w:val="24"/>
          <w:szCs w:val="24"/>
        </w:rPr>
      </w:pPr>
      <w:r>
        <w:rPr>
          <w:rFonts w:ascii="Lato" w:hAnsi="Lato"/>
          <w:iCs/>
          <w:sz w:val="24"/>
          <w:szCs w:val="24"/>
        </w:rPr>
        <w:t xml:space="preserve">The study team will be required to consult with the Save the Children Study Project </w:t>
      </w:r>
      <w:r w:rsidR="009F1014">
        <w:rPr>
          <w:rFonts w:ascii="Lato" w:hAnsi="Lato"/>
          <w:iCs/>
          <w:sz w:val="24"/>
          <w:szCs w:val="24"/>
        </w:rPr>
        <w:t xml:space="preserve">Team , Nutrition </w:t>
      </w:r>
      <w:r w:rsidR="009F1014" w:rsidRPr="009F1014">
        <w:rPr>
          <w:rFonts w:ascii="Lato" w:hAnsi="Lato"/>
          <w:iCs/>
          <w:sz w:val="24"/>
          <w:szCs w:val="24"/>
        </w:rPr>
        <w:t>Technical Specialist</w:t>
      </w:r>
      <w:r w:rsidR="009F1014">
        <w:rPr>
          <w:rFonts w:ascii="Lato" w:hAnsi="Lato"/>
          <w:iCs/>
          <w:sz w:val="24"/>
          <w:szCs w:val="24"/>
        </w:rPr>
        <w:t>s and  MEAL team</w:t>
      </w:r>
      <w:r w:rsidR="00DF7FCE">
        <w:rPr>
          <w:rFonts w:ascii="Lato" w:hAnsi="Lato"/>
          <w:iCs/>
          <w:sz w:val="24"/>
          <w:szCs w:val="24"/>
        </w:rPr>
        <w:t xml:space="preserve"> (As</w:t>
      </w:r>
      <w:r>
        <w:rPr>
          <w:rFonts w:ascii="Lato" w:hAnsi="Lato"/>
          <w:iCs/>
          <w:sz w:val="24"/>
          <w:szCs w:val="24"/>
        </w:rPr>
        <w:t xml:space="preserve"> </w:t>
      </w:r>
      <w:r w:rsidR="00DF7FCE" w:rsidRPr="00DF7FCE">
        <w:rPr>
          <w:rFonts w:ascii="Lato" w:hAnsi="Lato"/>
          <w:iCs/>
          <w:sz w:val="24"/>
          <w:szCs w:val="24"/>
        </w:rPr>
        <w:t>A Study Working Group</w:t>
      </w:r>
      <w:r w:rsidR="00DF7FCE">
        <w:rPr>
          <w:rFonts w:ascii="Lato" w:hAnsi="Lato"/>
          <w:iCs/>
          <w:sz w:val="24"/>
          <w:szCs w:val="24"/>
        </w:rPr>
        <w:t xml:space="preserve">) </w:t>
      </w:r>
      <w:r w:rsidR="00DF7FCE" w:rsidRPr="00DF7FCE">
        <w:rPr>
          <w:rFonts w:ascii="Lato" w:hAnsi="Lato"/>
          <w:iCs/>
          <w:sz w:val="24"/>
          <w:szCs w:val="24"/>
        </w:rPr>
        <w:t xml:space="preserve"> </w:t>
      </w:r>
      <w:r>
        <w:rPr>
          <w:rFonts w:ascii="Lato" w:hAnsi="Lato"/>
          <w:iCs/>
          <w:sz w:val="24"/>
          <w:szCs w:val="24"/>
        </w:rPr>
        <w:t xml:space="preserve">during inception to refine operational definitions, complete a patient-card and routine-data quality audit, confirm the final site and participant frames, agree the comparison strategy (if any), classify TSFP availability by site/time period, and finalise the study matrix and analysis plan. The inception matrix must map each priority learning question and evidence gap to specific indicators, data sources, denominators, sampling approaches, analytical methods and residual limitations. The core learning questions and evidence domains set out in this </w:t>
      </w:r>
      <w:proofErr w:type="spellStart"/>
      <w:r>
        <w:rPr>
          <w:rFonts w:ascii="Lato" w:hAnsi="Lato"/>
          <w:iCs/>
          <w:sz w:val="24"/>
          <w:szCs w:val="24"/>
        </w:rPr>
        <w:t>ToR</w:t>
      </w:r>
      <w:proofErr w:type="spellEnd"/>
      <w:r>
        <w:rPr>
          <w:rFonts w:ascii="Lato" w:hAnsi="Lato"/>
          <w:iCs/>
          <w:sz w:val="24"/>
          <w:szCs w:val="24"/>
        </w:rPr>
        <w:t xml:space="preserve"> should not be materially narrowed without written approval.</w:t>
      </w:r>
    </w:p>
    <w:p w14:paraId="27320363" w14:textId="77777777" w:rsidR="00DF2CA8" w:rsidRDefault="00572503">
      <w:pPr>
        <w:jc w:val="both"/>
        <w:rPr>
          <w:rFonts w:ascii="Lato" w:hAnsi="Lato"/>
          <w:color w:val="0070C0"/>
          <w:sz w:val="24"/>
          <w:szCs w:val="24"/>
        </w:rPr>
      </w:pPr>
      <w:r>
        <w:rPr>
          <w:rFonts w:ascii="Lato" w:hAnsi="Lato"/>
          <w:b/>
          <w:bCs/>
          <w:sz w:val="24"/>
          <w:szCs w:val="24"/>
        </w:rPr>
        <w:t xml:space="preserve">Scope: The study covers </w:t>
      </w:r>
      <w:proofErr w:type="spellStart"/>
      <w:r>
        <w:rPr>
          <w:rFonts w:ascii="Lato" w:hAnsi="Lato"/>
          <w:b/>
          <w:bCs/>
          <w:sz w:val="24"/>
          <w:szCs w:val="24"/>
        </w:rPr>
        <w:t>Assida</w:t>
      </w:r>
      <w:proofErr w:type="spellEnd"/>
      <w:r>
        <w:rPr>
          <w:rFonts w:ascii="Lato" w:hAnsi="Lato"/>
          <w:b/>
          <w:bCs/>
          <w:sz w:val="24"/>
          <w:szCs w:val="24"/>
        </w:rPr>
        <w:t xml:space="preserve"> Plus-supported nutrition service sites and associated catchment populations in Tawila Locality, North Darfur. Primary populations include eligible/exposed children aged 6–59 months, caregivers, pregnant and breastfeeding women, community nutrition volunteers, service providers, partner staff and relevant health/nutrition authorities. The analytic period covers project implementation through the end-line measurement. The study is not an evaluation of the entire multisectoral project; health, protection, food security and other services will be considered only where they function as programme pathways, co-interventions, contextual factors or referral destinations. The final list of service sites and catchment areas will be verified during inception because site nomenclature differs across programme records.</w:t>
      </w:r>
    </w:p>
    <w:p w14:paraId="44B8BC2A" w14:textId="77777777" w:rsidR="00DF2CA8" w:rsidRDefault="00572503">
      <w:pPr>
        <w:pStyle w:val="Heading2"/>
        <w:rPr>
          <w:rFonts w:ascii="Lato" w:hAnsi="Lato"/>
          <w:sz w:val="24"/>
          <w:szCs w:val="24"/>
        </w:rPr>
      </w:pPr>
      <w:bookmarkStart w:id="5" w:name="_Toc61945686"/>
      <w:r>
        <w:rPr>
          <w:rFonts w:ascii="Lato" w:hAnsi="Lato"/>
          <w:sz w:val="24"/>
          <w:szCs w:val="24"/>
        </w:rPr>
        <w:t>Intended Audience and Use of the Study</w:t>
      </w:r>
      <w:bookmarkEnd w:id="5"/>
    </w:p>
    <w:p w14:paraId="7E1770DE" w14:textId="77777777" w:rsidR="00DF2CA8" w:rsidRDefault="00572503">
      <w:pPr>
        <w:pStyle w:val="BodyText"/>
        <w:spacing w:before="0" w:after="120"/>
        <w:jc w:val="both"/>
        <w:rPr>
          <w:rFonts w:ascii="Lato" w:hAnsi="Lato"/>
          <w:b w:val="0"/>
          <w:bCs w:val="0"/>
        </w:rPr>
      </w:pPr>
      <w:r>
        <w:rPr>
          <w:rFonts w:ascii="Lato" w:hAnsi="Lato"/>
          <w:b w:val="0"/>
          <w:bCs w:val="0"/>
        </w:rPr>
        <w:t>The primary intended audiences are the programme decision-makers and technical stakeholders who can use the findings to improve preventive nutrition programming, including Save the Children programme, Nutrition, Health, MEAL and operational teams; the project donor; implementing partners; relevant government health and nutrition authorities; and community representatives.</w:t>
      </w:r>
    </w:p>
    <w:tbl>
      <w:tblPr>
        <w:tblW w:w="8675" w:type="dxa"/>
        <w:tblInd w:w="392" w:type="dxa"/>
        <w:tblLayout w:type="fixed"/>
        <w:tblLook w:val="04A0" w:firstRow="1" w:lastRow="0" w:firstColumn="1" w:lastColumn="0" w:noHBand="0" w:noVBand="1"/>
      </w:tblPr>
      <w:tblGrid>
        <w:gridCol w:w="3092"/>
        <w:gridCol w:w="5583"/>
      </w:tblGrid>
      <w:tr w:rsidR="00DF2CA8" w14:paraId="76B6E859" w14:textId="77777777">
        <w:tc>
          <w:tcPr>
            <w:tcW w:w="3092" w:type="dxa"/>
            <w:tcBorders>
              <w:top w:val="single" w:sz="4" w:space="0" w:color="000000"/>
              <w:left w:val="single" w:sz="4" w:space="0" w:color="000000"/>
              <w:bottom w:val="single" w:sz="4" w:space="0" w:color="000000"/>
              <w:right w:val="single" w:sz="4" w:space="0" w:color="000000"/>
            </w:tcBorders>
            <w:shd w:val="clear" w:color="auto" w:fill="BFBFBF"/>
          </w:tcPr>
          <w:p w14:paraId="6451FE24" w14:textId="77777777" w:rsidR="00DF2CA8" w:rsidRDefault="00572503">
            <w:pPr>
              <w:rPr>
                <w:rFonts w:ascii="Lato" w:hAnsi="Lato"/>
                <w:b/>
                <w:sz w:val="24"/>
                <w:szCs w:val="24"/>
              </w:rPr>
            </w:pPr>
            <w:r>
              <w:rPr>
                <w:rFonts w:ascii="Lato" w:hAnsi="Lato"/>
                <w:b/>
                <w:sz w:val="24"/>
                <w:szCs w:val="24"/>
              </w:rPr>
              <w:t>Stakeholder</w:t>
            </w:r>
          </w:p>
        </w:tc>
        <w:tc>
          <w:tcPr>
            <w:tcW w:w="5582" w:type="dxa"/>
            <w:tcBorders>
              <w:top w:val="single" w:sz="4" w:space="0" w:color="000000"/>
              <w:left w:val="single" w:sz="4" w:space="0" w:color="000000"/>
              <w:bottom w:val="single" w:sz="4" w:space="0" w:color="000000"/>
              <w:right w:val="single" w:sz="4" w:space="0" w:color="000000"/>
            </w:tcBorders>
            <w:shd w:val="clear" w:color="auto" w:fill="BFBFBF"/>
          </w:tcPr>
          <w:p w14:paraId="388F90E8" w14:textId="77777777" w:rsidR="00DF2CA8" w:rsidRDefault="00572503">
            <w:pPr>
              <w:rPr>
                <w:rFonts w:ascii="Lato" w:hAnsi="Lato"/>
                <w:b/>
                <w:sz w:val="24"/>
                <w:szCs w:val="24"/>
              </w:rPr>
            </w:pPr>
            <w:r>
              <w:rPr>
                <w:rFonts w:ascii="Lato" w:hAnsi="Lato"/>
                <w:b/>
                <w:sz w:val="24"/>
                <w:szCs w:val="24"/>
              </w:rPr>
              <w:t>Further information</w:t>
            </w:r>
          </w:p>
        </w:tc>
      </w:tr>
      <w:tr w:rsidR="00DF2CA8" w14:paraId="4B63DA77" w14:textId="77777777">
        <w:tc>
          <w:tcPr>
            <w:tcW w:w="3092" w:type="dxa"/>
            <w:tcBorders>
              <w:top w:val="single" w:sz="4" w:space="0" w:color="000000"/>
              <w:left w:val="single" w:sz="4" w:space="0" w:color="000000"/>
              <w:bottom w:val="single" w:sz="4" w:space="0" w:color="000000"/>
              <w:right w:val="single" w:sz="4" w:space="0" w:color="000000"/>
            </w:tcBorders>
          </w:tcPr>
          <w:p w14:paraId="61FC96E4" w14:textId="77777777" w:rsidR="00DF2CA8" w:rsidRDefault="00572503">
            <w:pPr>
              <w:pStyle w:val="BodyText"/>
              <w:spacing w:before="0" w:after="120"/>
              <w:rPr>
                <w:rFonts w:ascii="Lato" w:hAnsi="Lato"/>
                <w:b w:val="0"/>
              </w:rPr>
            </w:pPr>
            <w:r>
              <w:rPr>
                <w:rFonts w:ascii="Lato" w:hAnsi="Lato"/>
                <w:b w:val="0"/>
              </w:rPr>
              <w:t>Project donor</w:t>
            </w:r>
          </w:p>
        </w:tc>
        <w:tc>
          <w:tcPr>
            <w:tcW w:w="5582" w:type="dxa"/>
            <w:tcBorders>
              <w:top w:val="single" w:sz="4" w:space="0" w:color="000000"/>
              <w:left w:val="single" w:sz="4" w:space="0" w:color="000000"/>
              <w:bottom w:val="single" w:sz="4" w:space="0" w:color="000000"/>
              <w:right w:val="single" w:sz="4" w:space="0" w:color="000000"/>
            </w:tcBorders>
          </w:tcPr>
          <w:p w14:paraId="32358CB5" w14:textId="77777777" w:rsidR="00DF2CA8" w:rsidRDefault="00572503">
            <w:pPr>
              <w:pStyle w:val="BodyText"/>
              <w:spacing w:before="0" w:after="120"/>
              <w:rPr>
                <w:rFonts w:ascii="Lato" w:hAnsi="Lato"/>
                <w:b w:val="0"/>
              </w:rPr>
            </w:pPr>
            <w:r>
              <w:rPr>
                <w:rFonts w:ascii="Lato" w:hAnsi="Lato"/>
                <w:b w:val="0"/>
              </w:rPr>
              <w:t>Sudan Humanitarian Fund (SHF) / OCHA CBPF – programme accountability, evidence use and strategic learning.</w:t>
            </w:r>
          </w:p>
        </w:tc>
      </w:tr>
      <w:tr w:rsidR="00DF2CA8" w14:paraId="50A784BF" w14:textId="77777777">
        <w:tc>
          <w:tcPr>
            <w:tcW w:w="3092" w:type="dxa"/>
            <w:tcBorders>
              <w:top w:val="single" w:sz="4" w:space="0" w:color="000000"/>
              <w:left w:val="single" w:sz="4" w:space="0" w:color="000000"/>
              <w:bottom w:val="single" w:sz="4" w:space="0" w:color="000000"/>
              <w:right w:val="single" w:sz="4" w:space="0" w:color="000000"/>
            </w:tcBorders>
          </w:tcPr>
          <w:p w14:paraId="50C0D17C" w14:textId="77777777" w:rsidR="00DF2CA8" w:rsidRDefault="00572503">
            <w:pPr>
              <w:pStyle w:val="BodyText"/>
              <w:spacing w:before="0" w:after="120"/>
              <w:rPr>
                <w:rFonts w:ascii="Lato" w:hAnsi="Lato"/>
                <w:b w:val="0"/>
              </w:rPr>
            </w:pPr>
            <w:r>
              <w:rPr>
                <w:rFonts w:ascii="Lato" w:hAnsi="Lato"/>
                <w:b w:val="0"/>
              </w:rPr>
              <w:t>Primary implementing organisation</w:t>
            </w:r>
          </w:p>
        </w:tc>
        <w:tc>
          <w:tcPr>
            <w:tcW w:w="5582" w:type="dxa"/>
            <w:tcBorders>
              <w:top w:val="single" w:sz="4" w:space="0" w:color="000000"/>
              <w:left w:val="single" w:sz="4" w:space="0" w:color="000000"/>
              <w:bottom w:val="single" w:sz="4" w:space="0" w:color="000000"/>
              <w:right w:val="single" w:sz="4" w:space="0" w:color="000000"/>
            </w:tcBorders>
          </w:tcPr>
          <w:p w14:paraId="10315C1D" w14:textId="77777777" w:rsidR="00DF2CA8" w:rsidRDefault="00572503">
            <w:pPr>
              <w:pStyle w:val="BodyText"/>
              <w:spacing w:before="0" w:after="120"/>
              <w:rPr>
                <w:rFonts w:ascii="Lato" w:hAnsi="Lato"/>
                <w:b w:val="0"/>
              </w:rPr>
            </w:pPr>
            <w:r>
              <w:rPr>
                <w:rFonts w:ascii="Lato" w:hAnsi="Lato"/>
                <w:b w:val="0"/>
              </w:rPr>
              <w:t>Save the Children Sudan Country Office – Nutrition, Health, MEAL, Programme Operations, field and senior management teams responsible for programme quality and future design.</w:t>
            </w:r>
          </w:p>
        </w:tc>
      </w:tr>
      <w:tr w:rsidR="00DF2CA8" w14:paraId="7E5B2E20" w14:textId="77777777">
        <w:tc>
          <w:tcPr>
            <w:tcW w:w="3092" w:type="dxa"/>
            <w:tcBorders>
              <w:top w:val="single" w:sz="4" w:space="0" w:color="000000"/>
              <w:left w:val="single" w:sz="4" w:space="0" w:color="000000"/>
              <w:bottom w:val="single" w:sz="4" w:space="0" w:color="000000"/>
              <w:right w:val="single" w:sz="4" w:space="0" w:color="000000"/>
            </w:tcBorders>
          </w:tcPr>
          <w:p w14:paraId="459C86C7" w14:textId="77777777" w:rsidR="00DF2CA8" w:rsidRDefault="00572503">
            <w:pPr>
              <w:pStyle w:val="BodyText"/>
              <w:spacing w:before="0" w:after="120"/>
              <w:rPr>
                <w:rFonts w:ascii="Lato" w:hAnsi="Lato"/>
                <w:b w:val="0"/>
              </w:rPr>
            </w:pPr>
            <w:r>
              <w:rPr>
                <w:rFonts w:ascii="Lato" w:hAnsi="Lato"/>
                <w:b w:val="0"/>
              </w:rPr>
              <w:t>Implementing partners</w:t>
            </w:r>
          </w:p>
        </w:tc>
        <w:tc>
          <w:tcPr>
            <w:tcW w:w="5582" w:type="dxa"/>
            <w:tcBorders>
              <w:top w:val="single" w:sz="4" w:space="0" w:color="000000"/>
              <w:left w:val="single" w:sz="4" w:space="0" w:color="000000"/>
              <w:bottom w:val="single" w:sz="4" w:space="0" w:color="000000"/>
              <w:right w:val="single" w:sz="4" w:space="0" w:color="000000"/>
            </w:tcBorders>
          </w:tcPr>
          <w:p w14:paraId="20EB4FA5" w14:textId="77777777" w:rsidR="00DF2CA8" w:rsidRDefault="00572503">
            <w:pPr>
              <w:pStyle w:val="BodyText"/>
              <w:spacing w:before="0" w:after="120"/>
              <w:rPr>
                <w:rFonts w:ascii="Lato" w:hAnsi="Lato"/>
                <w:b w:val="0"/>
                <w:color w:val="0070C0"/>
              </w:rPr>
            </w:pPr>
            <w:r>
              <w:rPr>
                <w:rFonts w:ascii="Lato" w:hAnsi="Lato"/>
                <w:b w:val="0"/>
              </w:rPr>
              <w:t xml:space="preserve">Anhar for Peace, Development and Humanitarian Work Organization and other directly involved </w:t>
            </w:r>
            <w:r>
              <w:rPr>
                <w:rFonts w:ascii="Lato" w:hAnsi="Lato"/>
                <w:b w:val="0"/>
              </w:rPr>
              <w:lastRenderedPageBreak/>
              <w:t>project partners – implementation learning, service quality and operational improvement.</w:t>
            </w:r>
          </w:p>
        </w:tc>
      </w:tr>
      <w:tr w:rsidR="00DF2CA8" w14:paraId="1709AAAB" w14:textId="77777777">
        <w:tc>
          <w:tcPr>
            <w:tcW w:w="3092" w:type="dxa"/>
            <w:tcBorders>
              <w:top w:val="single" w:sz="4" w:space="0" w:color="000000"/>
              <w:left w:val="single" w:sz="4" w:space="0" w:color="000000"/>
              <w:bottom w:val="single" w:sz="4" w:space="0" w:color="000000"/>
              <w:right w:val="single" w:sz="4" w:space="0" w:color="000000"/>
            </w:tcBorders>
          </w:tcPr>
          <w:p w14:paraId="0B0582E1" w14:textId="77777777" w:rsidR="00DF2CA8" w:rsidRDefault="00572503">
            <w:pPr>
              <w:pStyle w:val="BodyText"/>
              <w:spacing w:before="0" w:after="120"/>
              <w:rPr>
                <w:rFonts w:ascii="Lato" w:hAnsi="Lato"/>
                <w:b w:val="0"/>
              </w:rPr>
            </w:pPr>
            <w:r>
              <w:rPr>
                <w:rFonts w:ascii="Lato" w:hAnsi="Lato"/>
                <w:b w:val="0"/>
              </w:rPr>
              <w:lastRenderedPageBreak/>
              <w:t>Government stakeholders</w:t>
            </w:r>
          </w:p>
        </w:tc>
        <w:tc>
          <w:tcPr>
            <w:tcW w:w="5582" w:type="dxa"/>
            <w:tcBorders>
              <w:top w:val="single" w:sz="4" w:space="0" w:color="000000"/>
              <w:left w:val="single" w:sz="4" w:space="0" w:color="000000"/>
              <w:bottom w:val="single" w:sz="4" w:space="0" w:color="000000"/>
              <w:right w:val="single" w:sz="4" w:space="0" w:color="000000"/>
            </w:tcBorders>
          </w:tcPr>
          <w:p w14:paraId="6D7AB1F3" w14:textId="77777777" w:rsidR="00DF2CA8" w:rsidRDefault="00572503">
            <w:pPr>
              <w:pStyle w:val="BodyText"/>
              <w:spacing w:before="0" w:after="120"/>
              <w:rPr>
                <w:rFonts w:ascii="Lato" w:hAnsi="Lato"/>
                <w:b w:val="0"/>
                <w:color w:val="0070C0"/>
              </w:rPr>
            </w:pPr>
            <w:r>
              <w:rPr>
                <w:rFonts w:ascii="Lato" w:hAnsi="Lato"/>
                <w:b w:val="0"/>
              </w:rPr>
              <w:t>State/local health and nutrition authorities, including relevant Ministry of Health, Health Office and Nutrition Department representatives – service integration, referral pathways, quality assurance and sustainability.</w:t>
            </w:r>
          </w:p>
        </w:tc>
      </w:tr>
      <w:tr w:rsidR="00DF2CA8" w14:paraId="2B1D5655" w14:textId="77777777">
        <w:tc>
          <w:tcPr>
            <w:tcW w:w="3092" w:type="dxa"/>
            <w:tcBorders>
              <w:top w:val="single" w:sz="4" w:space="0" w:color="000000"/>
              <w:left w:val="single" w:sz="4" w:space="0" w:color="000000"/>
              <w:bottom w:val="single" w:sz="4" w:space="0" w:color="000000"/>
              <w:right w:val="single" w:sz="4" w:space="0" w:color="000000"/>
            </w:tcBorders>
          </w:tcPr>
          <w:p w14:paraId="68E53178" w14:textId="77777777" w:rsidR="00DF2CA8" w:rsidRDefault="00572503">
            <w:pPr>
              <w:pStyle w:val="BodyText"/>
              <w:spacing w:before="0" w:after="120"/>
              <w:rPr>
                <w:rFonts w:ascii="Lato" w:hAnsi="Lato"/>
                <w:b w:val="0"/>
              </w:rPr>
            </w:pPr>
            <w:r>
              <w:rPr>
                <w:rFonts w:ascii="Lato" w:hAnsi="Lato"/>
                <w:b w:val="0"/>
              </w:rPr>
              <w:t>Community groups</w:t>
            </w:r>
          </w:p>
        </w:tc>
        <w:tc>
          <w:tcPr>
            <w:tcW w:w="5582" w:type="dxa"/>
            <w:tcBorders>
              <w:top w:val="single" w:sz="4" w:space="0" w:color="000000"/>
              <w:left w:val="single" w:sz="4" w:space="0" w:color="000000"/>
              <w:bottom w:val="single" w:sz="4" w:space="0" w:color="000000"/>
              <w:right w:val="single" w:sz="4" w:space="0" w:color="000000"/>
            </w:tcBorders>
          </w:tcPr>
          <w:p w14:paraId="3BA7B025" w14:textId="77777777" w:rsidR="00DF2CA8" w:rsidRDefault="00572503">
            <w:pPr>
              <w:pStyle w:val="BodyText"/>
              <w:spacing w:before="0" w:after="120"/>
              <w:rPr>
                <w:rFonts w:ascii="Lato" w:hAnsi="Lato"/>
                <w:b w:val="0"/>
                <w:color w:val="0070C0"/>
              </w:rPr>
            </w:pPr>
            <w:r>
              <w:rPr>
                <w:rFonts w:ascii="Lato" w:hAnsi="Lato"/>
                <w:b w:val="0"/>
              </w:rPr>
              <w:t>Community nutrition volunteers, caregiver/mother groups, community representatives and relevant local structures – validation, accountability, acceptability and community-led improvement.</w:t>
            </w:r>
          </w:p>
        </w:tc>
      </w:tr>
      <w:tr w:rsidR="00DF2CA8" w14:paraId="70E488D8" w14:textId="77777777">
        <w:tc>
          <w:tcPr>
            <w:tcW w:w="3092" w:type="dxa"/>
            <w:tcBorders>
              <w:top w:val="single" w:sz="4" w:space="0" w:color="000000"/>
              <w:left w:val="single" w:sz="4" w:space="0" w:color="000000"/>
              <w:bottom w:val="single" w:sz="4" w:space="0" w:color="000000"/>
              <w:right w:val="single" w:sz="4" w:space="0" w:color="000000"/>
            </w:tcBorders>
          </w:tcPr>
          <w:p w14:paraId="1F85BB05" w14:textId="77777777" w:rsidR="00DF2CA8" w:rsidRDefault="00572503">
            <w:pPr>
              <w:pStyle w:val="BodyText"/>
              <w:spacing w:before="0" w:after="120"/>
              <w:rPr>
                <w:rFonts w:ascii="Lato" w:hAnsi="Lato"/>
                <w:b w:val="0"/>
              </w:rPr>
            </w:pPr>
            <w:r>
              <w:rPr>
                <w:rFonts w:ascii="Lato" w:hAnsi="Lato"/>
                <w:b w:val="0"/>
              </w:rPr>
              <w:t>Beneficiaries</w:t>
            </w:r>
          </w:p>
        </w:tc>
        <w:tc>
          <w:tcPr>
            <w:tcW w:w="5582" w:type="dxa"/>
            <w:tcBorders>
              <w:top w:val="single" w:sz="4" w:space="0" w:color="000000"/>
              <w:left w:val="single" w:sz="4" w:space="0" w:color="000000"/>
              <w:bottom w:val="single" w:sz="4" w:space="0" w:color="000000"/>
              <w:right w:val="single" w:sz="4" w:space="0" w:color="000000"/>
            </w:tcBorders>
          </w:tcPr>
          <w:p w14:paraId="686474DF" w14:textId="77777777" w:rsidR="00DF2CA8" w:rsidRDefault="00572503">
            <w:pPr>
              <w:pStyle w:val="BodyText"/>
              <w:spacing w:before="0" w:after="120"/>
              <w:rPr>
                <w:rFonts w:ascii="Lato" w:hAnsi="Lato"/>
                <w:b w:val="0"/>
              </w:rPr>
            </w:pPr>
            <w:r>
              <w:rPr>
                <w:rFonts w:ascii="Lato" w:hAnsi="Lato"/>
                <w:b w:val="0"/>
              </w:rPr>
              <w:t>Children represented primarily through caregiver-level evidence, caregivers of eligible children, and pregnant/breastfeeding women who received or were eligible for programme services.</w:t>
            </w:r>
          </w:p>
        </w:tc>
      </w:tr>
      <w:tr w:rsidR="00DF2CA8" w14:paraId="20883E50" w14:textId="77777777">
        <w:tc>
          <w:tcPr>
            <w:tcW w:w="3092" w:type="dxa"/>
            <w:tcBorders>
              <w:top w:val="single" w:sz="4" w:space="0" w:color="000000"/>
              <w:left w:val="single" w:sz="4" w:space="0" w:color="000000"/>
              <w:bottom w:val="single" w:sz="4" w:space="0" w:color="000000"/>
              <w:right w:val="single" w:sz="4" w:space="0" w:color="000000"/>
            </w:tcBorders>
          </w:tcPr>
          <w:p w14:paraId="0A62ADA6" w14:textId="77777777" w:rsidR="00DF2CA8" w:rsidRDefault="00572503">
            <w:pPr>
              <w:pStyle w:val="BodyText"/>
              <w:spacing w:before="0" w:after="120"/>
              <w:rPr>
                <w:rFonts w:ascii="Lato" w:hAnsi="Lato"/>
                <w:b w:val="0"/>
              </w:rPr>
            </w:pPr>
            <w:r>
              <w:rPr>
                <w:rFonts w:ascii="Lato" w:hAnsi="Lato"/>
                <w:b w:val="0"/>
              </w:rPr>
              <w:t>International development/humanitarian research community</w:t>
            </w:r>
          </w:p>
        </w:tc>
        <w:tc>
          <w:tcPr>
            <w:tcW w:w="5582" w:type="dxa"/>
            <w:tcBorders>
              <w:top w:val="single" w:sz="4" w:space="0" w:color="000000"/>
              <w:left w:val="single" w:sz="4" w:space="0" w:color="000000"/>
              <w:bottom w:val="single" w:sz="4" w:space="0" w:color="000000"/>
              <w:right w:val="single" w:sz="4" w:space="0" w:color="000000"/>
            </w:tcBorders>
          </w:tcPr>
          <w:p w14:paraId="06AC716E" w14:textId="77777777" w:rsidR="00DF2CA8" w:rsidRDefault="00572503">
            <w:pPr>
              <w:pStyle w:val="BodyText"/>
              <w:spacing w:before="0" w:after="120"/>
              <w:rPr>
                <w:rFonts w:ascii="Lato" w:hAnsi="Lato"/>
                <w:b w:val="0"/>
              </w:rPr>
            </w:pPr>
            <w:r>
              <w:rPr>
                <w:rFonts w:ascii="Lato" w:hAnsi="Lato"/>
                <w:b w:val="0"/>
              </w:rPr>
              <w:t>Nutrition and humanitarian practitioners, technical working groups and research/evidence users with an interest in preventive nutrition approaches in emergency settings.</w:t>
            </w:r>
          </w:p>
        </w:tc>
      </w:tr>
    </w:tbl>
    <w:p w14:paraId="25CB4321" w14:textId="77777777" w:rsidR="00DF2CA8" w:rsidRDefault="00DF2CA8">
      <w:pPr>
        <w:rPr>
          <w:rFonts w:ascii="Lato" w:hAnsi="Lato" w:cstheme="minorHAnsi"/>
          <w:b/>
          <w:bCs/>
          <w:color w:val="0070C0"/>
          <w:sz w:val="24"/>
          <w:szCs w:val="24"/>
        </w:rPr>
      </w:pPr>
    </w:p>
    <w:p w14:paraId="01DB0815" w14:textId="77777777" w:rsidR="00DF2CA8" w:rsidRDefault="00572503">
      <w:pPr>
        <w:jc w:val="both"/>
        <w:rPr>
          <w:rFonts w:ascii="Lato" w:hAnsi="Lato" w:cstheme="minorHAnsi"/>
          <w:color w:val="0070C0"/>
          <w:sz w:val="24"/>
          <w:szCs w:val="24"/>
        </w:rPr>
      </w:pPr>
      <w:r>
        <w:rPr>
          <w:rFonts w:ascii="Lato" w:hAnsi="Lato" w:cstheme="minorHAnsi"/>
          <w:sz w:val="24"/>
          <w:szCs w:val="24"/>
        </w:rPr>
        <w:t>The findings may also be shared, subject to Save the Children approval and ethical/data-protection requirements, with nutrition coordination bodies, peer humanitarian agencies, technical advisers and academic/research audiences.</w:t>
      </w:r>
    </w:p>
    <w:p w14:paraId="4AD1BEDB" w14:textId="77777777" w:rsidR="00DF2CA8" w:rsidRDefault="00572503">
      <w:pPr>
        <w:jc w:val="both"/>
        <w:rPr>
          <w:rFonts w:ascii="Lato" w:hAnsi="Lato" w:cstheme="minorHAnsi"/>
          <w:color w:val="0070C0"/>
          <w:sz w:val="24"/>
          <w:szCs w:val="24"/>
        </w:rPr>
      </w:pPr>
      <w:r>
        <w:rPr>
          <w:rFonts w:ascii="Lato" w:hAnsi="Lato" w:cstheme="minorHAnsi"/>
          <w:sz w:val="24"/>
          <w:szCs w:val="24"/>
        </w:rPr>
        <w:t>The findings will be used to identify programme improvements; strengthen eligibility, screening, referral, supply and counselling systems; guide decisions on package composition and implementation standards; improve equity and accountability; inform resource and cost planning; and support evidence-based decisions on continuation, adaptation and potential scale. Recommendations must distinguish actions supported by strong evidence from areas requiring further prospective testing.</w:t>
      </w:r>
    </w:p>
    <w:p w14:paraId="6B93BE5C" w14:textId="77777777" w:rsidR="00DF2CA8" w:rsidRDefault="00572503">
      <w:pPr>
        <w:jc w:val="both"/>
        <w:rPr>
          <w:rFonts w:ascii="Lato" w:hAnsi="Lato"/>
          <w:color w:val="0070C0"/>
          <w:sz w:val="24"/>
          <w:szCs w:val="24"/>
        </w:rPr>
      </w:pPr>
      <w:r>
        <w:rPr>
          <w:rFonts w:ascii="Lato" w:hAnsi="Lato"/>
          <w:sz w:val="24"/>
          <w:szCs w:val="24"/>
        </w:rPr>
        <w:t>The study team will propose a stakeholder engagement and knowledge-use plan at inception. This must include meaningful participation of implementing and government stakeholders, validation with community representatives, and accessible feedback of findings to participating communities. For young children, caregiver perspectives are considered an appropriate and safer primary mechanism for representing experience, supplemented by non-invasive observation where methodologically justified.</w:t>
      </w:r>
    </w:p>
    <w:p w14:paraId="1DFAC85C" w14:textId="77777777" w:rsidR="00DF2CA8" w:rsidRDefault="00572503">
      <w:pPr>
        <w:pStyle w:val="Heading2"/>
        <w:rPr>
          <w:rFonts w:ascii="Lato" w:hAnsi="Lato"/>
          <w:sz w:val="24"/>
          <w:szCs w:val="24"/>
        </w:rPr>
      </w:pPr>
      <w:bookmarkStart w:id="6" w:name="_Toc61945687"/>
      <w:r>
        <w:rPr>
          <w:rFonts w:ascii="Lato" w:hAnsi="Lato"/>
          <w:sz w:val="24"/>
          <w:szCs w:val="24"/>
        </w:rPr>
        <w:t>Key Study Questions</w:t>
      </w:r>
      <w:bookmarkEnd w:id="6"/>
    </w:p>
    <w:p w14:paraId="38E52B7E" w14:textId="77777777" w:rsidR="00DF2CA8" w:rsidRDefault="00572503">
      <w:pPr>
        <w:jc w:val="both"/>
        <w:rPr>
          <w:rFonts w:ascii="Lato" w:hAnsi="Lato"/>
          <w:sz w:val="24"/>
          <w:szCs w:val="24"/>
        </w:rPr>
      </w:pPr>
      <w:r>
        <w:rPr>
          <w:rFonts w:ascii="Lato" w:hAnsi="Lato"/>
          <w:sz w:val="24"/>
          <w:szCs w:val="24"/>
        </w:rPr>
        <w:t xml:space="preserve">The following key study questions translate the study purpose into a focused evaluation framework. They are intended to be answered through triangulation of participant/patient card data, targeted caregiver data, service/supply information, qualitative evidence, contextual interruption data and costing information. The study team will operationalise each question in the inception study matrix, specifying indicators, data sources, denominators, disaggregation, analysis methods and decision rules. The matrix must clearly identify which existing evidence gap each data source is </w:t>
      </w:r>
      <w:r>
        <w:rPr>
          <w:rFonts w:ascii="Lato" w:hAnsi="Lato"/>
          <w:sz w:val="24"/>
          <w:szCs w:val="24"/>
        </w:rPr>
        <w:lastRenderedPageBreak/>
        <w:t>intended to fill and which questions cannot be answered credibly with the available design.</w:t>
      </w:r>
    </w:p>
    <w:p w14:paraId="4AC251D8" w14:textId="77777777" w:rsidR="00DF2CA8" w:rsidRDefault="00572503">
      <w:pPr>
        <w:jc w:val="both"/>
        <w:rPr>
          <w:rFonts w:ascii="Lato" w:hAnsi="Lato"/>
          <w:color w:val="0070C0"/>
          <w:sz w:val="24"/>
          <w:szCs w:val="24"/>
        </w:rPr>
      </w:pPr>
      <w:r>
        <w:rPr>
          <w:rFonts w:ascii="Lato" w:hAnsi="Lato"/>
          <w:sz w:val="24"/>
          <w:szCs w:val="24"/>
        </w:rPr>
        <w:t xml:space="preserve">Effectiveness questions should distinguish end-line status, change over time, association and contribution from causal effect. The analysis must explicitly address: (1) whether </w:t>
      </w:r>
      <w:proofErr w:type="spellStart"/>
      <w:r>
        <w:rPr>
          <w:rFonts w:ascii="Lato" w:hAnsi="Lato"/>
          <w:sz w:val="24"/>
          <w:szCs w:val="24"/>
        </w:rPr>
        <w:t>Assida</w:t>
      </w:r>
      <w:proofErr w:type="spellEnd"/>
      <w:r>
        <w:rPr>
          <w:rFonts w:ascii="Lato" w:hAnsi="Lato"/>
          <w:sz w:val="24"/>
          <w:szCs w:val="24"/>
        </w:rPr>
        <w:t xml:space="preserve"> Plus was associated with prevention of new or worsening acute malnutrition; (2) what happened to children with MAM, and to pregnant/breastfeeding women where applicable, during periods or in locations without functional TSFP services; (3) which behavioural, household, access, service and supply factors most limited preventive nutrition in hard-to-reach settings; and (4) where local production or preparation units were used, whether they were safe, quality-assured, cost-efficient, sustainable and scalable. Where a valid comparator cannot be established, the report must avoid attributing observed change solely to </w:t>
      </w:r>
      <w:proofErr w:type="spellStart"/>
      <w:r>
        <w:rPr>
          <w:rFonts w:ascii="Lato" w:hAnsi="Lato"/>
          <w:sz w:val="24"/>
          <w:szCs w:val="24"/>
        </w:rPr>
        <w:t>Assida</w:t>
      </w:r>
      <w:proofErr w:type="spellEnd"/>
      <w:r>
        <w:rPr>
          <w:rFonts w:ascii="Lato" w:hAnsi="Lato"/>
          <w:sz w:val="24"/>
          <w:szCs w:val="24"/>
        </w:rPr>
        <w:t xml:space="preserve"> Plus and should explicitly assess alternative explanations including seasonality, displacement, food availability, concurrent services and programme exposure intensity.</w:t>
      </w:r>
    </w:p>
    <w:p w14:paraId="1BCAB9D7" w14:textId="77777777" w:rsidR="00DF2CA8" w:rsidRDefault="00DF2CA8">
      <w:pPr>
        <w:jc w:val="both"/>
        <w:rPr>
          <w:rFonts w:ascii="Lato" w:hAnsi="Lato"/>
          <w:color w:val="0070C0"/>
          <w:sz w:val="24"/>
          <w:szCs w:val="24"/>
        </w:rPr>
      </w:pPr>
    </w:p>
    <w:tbl>
      <w:tblPr>
        <w:tblStyle w:val="TableGrid"/>
        <w:tblW w:w="9137" w:type="dxa"/>
        <w:tblLayout w:type="fixed"/>
        <w:tblLook w:val="04A0" w:firstRow="1" w:lastRow="0" w:firstColumn="1" w:lastColumn="0" w:noHBand="0" w:noVBand="1"/>
      </w:tblPr>
      <w:tblGrid>
        <w:gridCol w:w="1978"/>
        <w:gridCol w:w="4015"/>
        <w:gridCol w:w="753"/>
        <w:gridCol w:w="612"/>
        <w:gridCol w:w="714"/>
        <w:gridCol w:w="518"/>
        <w:gridCol w:w="547"/>
      </w:tblGrid>
      <w:tr w:rsidR="00DF2CA8" w14:paraId="00DC57B8" w14:textId="77777777">
        <w:trPr>
          <w:cantSplit/>
          <w:trHeight w:val="1385"/>
        </w:trPr>
        <w:tc>
          <w:tcPr>
            <w:tcW w:w="1977" w:type="dxa"/>
            <w:tcBorders>
              <w:top w:val="single" w:sz="4" w:space="0" w:color="000000"/>
              <w:left w:val="single" w:sz="4" w:space="0" w:color="000000"/>
              <w:bottom w:val="single" w:sz="4" w:space="0" w:color="000000"/>
              <w:right w:val="single" w:sz="4" w:space="0" w:color="000000"/>
            </w:tcBorders>
          </w:tcPr>
          <w:p w14:paraId="4B4835EF" w14:textId="77777777" w:rsidR="00DF2CA8" w:rsidRDefault="00572503">
            <w:pPr>
              <w:spacing w:after="0"/>
              <w:rPr>
                <w:rFonts w:ascii="Lato" w:hAnsi="Lato"/>
                <w:b/>
                <w:iCs/>
                <w:color w:val="0070C0"/>
                <w:sz w:val="24"/>
                <w:szCs w:val="24"/>
              </w:rPr>
            </w:pPr>
            <w:r>
              <w:rPr>
                <w:rFonts w:ascii="Lato" w:hAnsi="Lato"/>
                <w:b/>
                <w:iCs/>
                <w:sz w:val="24"/>
                <w:szCs w:val="24"/>
              </w:rPr>
              <w:t>Criteria</w:t>
            </w:r>
          </w:p>
        </w:tc>
        <w:tc>
          <w:tcPr>
            <w:tcW w:w="4015" w:type="dxa"/>
            <w:tcBorders>
              <w:top w:val="single" w:sz="4" w:space="0" w:color="000000"/>
              <w:left w:val="single" w:sz="4" w:space="0" w:color="000000"/>
              <w:bottom w:val="single" w:sz="4" w:space="0" w:color="000000"/>
              <w:right w:val="single" w:sz="4" w:space="0" w:color="000000"/>
            </w:tcBorders>
          </w:tcPr>
          <w:p w14:paraId="2C4A00F2" w14:textId="77777777" w:rsidR="00DF2CA8" w:rsidRDefault="00572503">
            <w:pPr>
              <w:spacing w:after="0"/>
              <w:rPr>
                <w:rFonts w:ascii="Lato" w:hAnsi="Lato"/>
                <w:b/>
                <w:iCs/>
                <w:color w:val="0070C0"/>
                <w:sz w:val="24"/>
                <w:szCs w:val="24"/>
              </w:rPr>
            </w:pPr>
            <w:r>
              <w:rPr>
                <w:rFonts w:ascii="Lato" w:hAnsi="Lato"/>
                <w:b/>
                <w:iCs/>
                <w:sz w:val="24"/>
                <w:szCs w:val="24"/>
              </w:rPr>
              <w:t>Key Study Questions</w:t>
            </w:r>
          </w:p>
        </w:tc>
        <w:tc>
          <w:tcPr>
            <w:tcW w:w="753" w:type="dxa"/>
            <w:tcBorders>
              <w:top w:val="single" w:sz="4" w:space="0" w:color="000000"/>
              <w:left w:val="single" w:sz="4" w:space="0" w:color="000000"/>
              <w:bottom w:val="single" w:sz="4" w:space="0" w:color="000000"/>
              <w:right w:val="single" w:sz="4" w:space="0" w:color="000000"/>
            </w:tcBorders>
            <w:textDirection w:val="btLr"/>
          </w:tcPr>
          <w:p w14:paraId="2E1305B4" w14:textId="77777777" w:rsidR="00DF2CA8" w:rsidRDefault="00572503">
            <w:pPr>
              <w:spacing w:after="0"/>
              <w:ind w:left="113" w:right="113"/>
              <w:rPr>
                <w:rFonts w:ascii="Lato" w:hAnsi="Lato"/>
                <w:b/>
                <w:iCs/>
                <w:color w:val="0070C0"/>
                <w:sz w:val="24"/>
                <w:szCs w:val="24"/>
              </w:rPr>
            </w:pPr>
            <w:r>
              <w:rPr>
                <w:rFonts w:ascii="Lato" w:hAnsi="Lato"/>
                <w:b/>
                <w:iCs/>
                <w:sz w:val="24"/>
                <w:szCs w:val="24"/>
              </w:rPr>
              <w:t>Formative</w:t>
            </w:r>
          </w:p>
        </w:tc>
        <w:tc>
          <w:tcPr>
            <w:tcW w:w="612" w:type="dxa"/>
            <w:tcBorders>
              <w:top w:val="single" w:sz="4" w:space="0" w:color="000000"/>
              <w:left w:val="single" w:sz="4" w:space="0" w:color="000000"/>
              <w:bottom w:val="single" w:sz="4" w:space="0" w:color="000000"/>
              <w:right w:val="single" w:sz="4" w:space="0" w:color="000000"/>
            </w:tcBorders>
            <w:textDirection w:val="btLr"/>
          </w:tcPr>
          <w:p w14:paraId="2ACE904D" w14:textId="77777777" w:rsidR="00DF2CA8" w:rsidRDefault="00572503">
            <w:pPr>
              <w:spacing w:after="0"/>
              <w:ind w:left="113" w:right="113"/>
              <w:rPr>
                <w:rFonts w:ascii="Lato" w:hAnsi="Lato"/>
                <w:b/>
                <w:iCs/>
                <w:color w:val="0070C0"/>
                <w:sz w:val="24"/>
                <w:szCs w:val="24"/>
              </w:rPr>
            </w:pPr>
            <w:r>
              <w:rPr>
                <w:rFonts w:ascii="Lato" w:hAnsi="Lato"/>
                <w:b/>
                <w:iCs/>
                <w:sz w:val="24"/>
                <w:szCs w:val="24"/>
              </w:rPr>
              <w:t>Process</w:t>
            </w:r>
          </w:p>
        </w:tc>
        <w:tc>
          <w:tcPr>
            <w:tcW w:w="714" w:type="dxa"/>
            <w:tcBorders>
              <w:top w:val="single" w:sz="4" w:space="0" w:color="000000"/>
              <w:left w:val="single" w:sz="4" w:space="0" w:color="000000"/>
              <w:bottom w:val="single" w:sz="4" w:space="0" w:color="000000"/>
              <w:right w:val="single" w:sz="4" w:space="0" w:color="000000"/>
            </w:tcBorders>
            <w:textDirection w:val="btLr"/>
          </w:tcPr>
          <w:p w14:paraId="51829F81" w14:textId="77777777" w:rsidR="00DF2CA8" w:rsidRDefault="00572503">
            <w:pPr>
              <w:spacing w:after="0"/>
              <w:ind w:left="113" w:right="113"/>
              <w:rPr>
                <w:rFonts w:ascii="Lato" w:hAnsi="Lato"/>
                <w:b/>
                <w:iCs/>
                <w:color w:val="0070C0"/>
                <w:sz w:val="24"/>
                <w:szCs w:val="24"/>
              </w:rPr>
            </w:pPr>
            <w:r>
              <w:rPr>
                <w:rFonts w:ascii="Lato" w:hAnsi="Lato"/>
                <w:b/>
                <w:iCs/>
                <w:sz w:val="24"/>
                <w:szCs w:val="24"/>
              </w:rPr>
              <w:t>Outcome</w:t>
            </w:r>
          </w:p>
        </w:tc>
        <w:tc>
          <w:tcPr>
            <w:tcW w:w="518" w:type="dxa"/>
            <w:tcBorders>
              <w:top w:val="single" w:sz="4" w:space="0" w:color="000000"/>
              <w:left w:val="single" w:sz="4" w:space="0" w:color="000000"/>
              <w:bottom w:val="single" w:sz="4" w:space="0" w:color="000000"/>
              <w:right w:val="single" w:sz="4" w:space="0" w:color="000000"/>
            </w:tcBorders>
            <w:textDirection w:val="btLr"/>
          </w:tcPr>
          <w:p w14:paraId="1B2E0749" w14:textId="77777777" w:rsidR="00DF2CA8" w:rsidRDefault="00572503">
            <w:pPr>
              <w:spacing w:after="0"/>
              <w:ind w:left="113" w:right="113"/>
              <w:rPr>
                <w:rFonts w:ascii="Lato" w:hAnsi="Lato"/>
                <w:b/>
                <w:iCs/>
                <w:color w:val="0070C0"/>
                <w:sz w:val="24"/>
                <w:szCs w:val="24"/>
              </w:rPr>
            </w:pPr>
            <w:r>
              <w:rPr>
                <w:rFonts w:ascii="Lato" w:hAnsi="Lato"/>
                <w:b/>
                <w:iCs/>
                <w:sz w:val="24"/>
                <w:szCs w:val="24"/>
              </w:rPr>
              <w:t>Impact</w:t>
            </w:r>
          </w:p>
        </w:tc>
        <w:tc>
          <w:tcPr>
            <w:tcW w:w="547" w:type="dxa"/>
            <w:tcBorders>
              <w:top w:val="single" w:sz="4" w:space="0" w:color="000000"/>
              <w:left w:val="single" w:sz="4" w:space="0" w:color="000000"/>
              <w:bottom w:val="single" w:sz="4" w:space="0" w:color="000000"/>
              <w:right w:val="single" w:sz="4" w:space="0" w:color="000000"/>
            </w:tcBorders>
            <w:textDirection w:val="btLr"/>
          </w:tcPr>
          <w:p w14:paraId="4FDA32D1" w14:textId="77777777" w:rsidR="00DF2CA8" w:rsidRDefault="00572503">
            <w:pPr>
              <w:spacing w:after="0"/>
              <w:ind w:left="113" w:right="113"/>
              <w:rPr>
                <w:rFonts w:ascii="Lato" w:hAnsi="Lato"/>
                <w:b/>
                <w:iCs/>
                <w:color w:val="0070C0"/>
                <w:sz w:val="24"/>
                <w:szCs w:val="24"/>
              </w:rPr>
            </w:pPr>
            <w:r>
              <w:rPr>
                <w:rFonts w:ascii="Lato" w:hAnsi="Lato"/>
                <w:b/>
                <w:iCs/>
                <w:sz w:val="24"/>
                <w:szCs w:val="24"/>
              </w:rPr>
              <w:t>Economic</w:t>
            </w:r>
          </w:p>
        </w:tc>
      </w:tr>
      <w:tr w:rsidR="00DF2CA8" w14:paraId="50DE9513" w14:textId="77777777">
        <w:tc>
          <w:tcPr>
            <w:tcW w:w="1977" w:type="dxa"/>
            <w:tcBorders>
              <w:top w:val="single" w:sz="4" w:space="0" w:color="000000"/>
              <w:left w:val="single" w:sz="4" w:space="0" w:color="000000"/>
              <w:bottom w:val="single" w:sz="4" w:space="0" w:color="000000"/>
              <w:right w:val="single" w:sz="4" w:space="0" w:color="000000"/>
            </w:tcBorders>
          </w:tcPr>
          <w:p w14:paraId="201DCE84" w14:textId="77777777" w:rsidR="00DF2CA8" w:rsidRDefault="00572503">
            <w:pPr>
              <w:spacing w:after="0"/>
              <w:rPr>
                <w:rFonts w:ascii="Lato" w:hAnsi="Lato"/>
                <w:iCs/>
                <w:color w:val="0070C0"/>
                <w:sz w:val="24"/>
                <w:szCs w:val="24"/>
              </w:rPr>
            </w:pPr>
            <w:r>
              <w:rPr>
                <w:rFonts w:ascii="Lato" w:hAnsi="Lato"/>
                <w:iCs/>
                <w:sz w:val="24"/>
                <w:szCs w:val="24"/>
              </w:rPr>
              <w:t>Acceptability and appropriateness</w:t>
            </w:r>
          </w:p>
        </w:tc>
        <w:tc>
          <w:tcPr>
            <w:tcW w:w="4015" w:type="dxa"/>
            <w:tcBorders>
              <w:top w:val="single" w:sz="4" w:space="0" w:color="000000"/>
              <w:left w:val="single" w:sz="4" w:space="0" w:color="000000"/>
              <w:bottom w:val="single" w:sz="4" w:space="0" w:color="000000"/>
              <w:right w:val="single" w:sz="4" w:space="0" w:color="000000"/>
            </w:tcBorders>
          </w:tcPr>
          <w:p w14:paraId="328858ED"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 xml:space="preserve">How acceptable and contextually appropriate were the </w:t>
            </w:r>
            <w:proofErr w:type="spellStart"/>
            <w:r>
              <w:rPr>
                <w:rFonts w:ascii="Lato" w:hAnsi="Lato"/>
                <w:i w:val="0"/>
                <w:sz w:val="24"/>
                <w:szCs w:val="24"/>
                <w:lang w:val="en-GB"/>
              </w:rPr>
              <w:t>Assida</w:t>
            </w:r>
            <w:proofErr w:type="spellEnd"/>
            <w:r>
              <w:rPr>
                <w:rFonts w:ascii="Lato" w:hAnsi="Lato"/>
                <w:i w:val="0"/>
                <w:sz w:val="24"/>
                <w:szCs w:val="24"/>
                <w:lang w:val="en-GB"/>
              </w:rPr>
              <w:t xml:space="preserve"> Plus food ration, preparation practices, Social and Behaviour Change activities, screening and referral processes to caregivers, pregnant/breastfeeding women, providers and community stakeholders? Which features promoted or constrained uptake and continued participation?</w:t>
            </w:r>
          </w:p>
        </w:tc>
        <w:tc>
          <w:tcPr>
            <w:tcW w:w="753" w:type="dxa"/>
            <w:tcBorders>
              <w:top w:val="single" w:sz="4" w:space="0" w:color="000000"/>
              <w:left w:val="single" w:sz="4" w:space="0" w:color="000000"/>
              <w:bottom w:val="single" w:sz="4" w:space="0" w:color="000000"/>
              <w:right w:val="single" w:sz="4" w:space="0" w:color="000000"/>
            </w:tcBorders>
          </w:tcPr>
          <w:p w14:paraId="33C83934"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612" w:type="dxa"/>
            <w:tcBorders>
              <w:top w:val="single" w:sz="4" w:space="0" w:color="000000"/>
              <w:left w:val="single" w:sz="4" w:space="0" w:color="000000"/>
              <w:bottom w:val="single" w:sz="4" w:space="0" w:color="000000"/>
              <w:right w:val="single" w:sz="4" w:space="0" w:color="000000"/>
            </w:tcBorders>
          </w:tcPr>
          <w:p w14:paraId="23474B75"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0126953F" w14:textId="77777777" w:rsidR="00DF2CA8" w:rsidRDefault="00DF2CA8">
            <w:pPr>
              <w:jc w:val="center"/>
              <w:rPr>
                <w:rFonts w:ascii="Lato" w:hAnsi="Lato" w:cstheme="minorHAnsi"/>
                <w:b/>
                <w:bCs/>
                <w:color w:val="0070C0"/>
                <w:sz w:val="24"/>
                <w:szCs w:val="24"/>
              </w:rPr>
            </w:pPr>
          </w:p>
        </w:tc>
        <w:tc>
          <w:tcPr>
            <w:tcW w:w="518" w:type="dxa"/>
            <w:tcBorders>
              <w:top w:val="single" w:sz="4" w:space="0" w:color="000000"/>
              <w:left w:val="single" w:sz="4" w:space="0" w:color="000000"/>
              <w:bottom w:val="single" w:sz="4" w:space="0" w:color="000000"/>
              <w:right w:val="single" w:sz="4" w:space="0" w:color="000000"/>
            </w:tcBorders>
          </w:tcPr>
          <w:p w14:paraId="40384387"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498365A0" w14:textId="77777777" w:rsidR="00DF2CA8" w:rsidRDefault="00DF2CA8">
            <w:pPr>
              <w:jc w:val="center"/>
              <w:rPr>
                <w:rFonts w:ascii="Lato" w:hAnsi="Lato" w:cstheme="minorHAnsi"/>
                <w:b/>
                <w:bCs/>
                <w:color w:val="0070C0"/>
                <w:sz w:val="24"/>
                <w:szCs w:val="24"/>
              </w:rPr>
            </w:pPr>
          </w:p>
        </w:tc>
      </w:tr>
      <w:tr w:rsidR="00DF2CA8" w14:paraId="24CA0673" w14:textId="77777777">
        <w:tc>
          <w:tcPr>
            <w:tcW w:w="1977" w:type="dxa"/>
            <w:tcBorders>
              <w:top w:val="single" w:sz="4" w:space="0" w:color="000000"/>
              <w:left w:val="single" w:sz="4" w:space="0" w:color="000000"/>
              <w:bottom w:val="single" w:sz="4" w:space="0" w:color="000000"/>
              <w:right w:val="single" w:sz="4" w:space="0" w:color="000000"/>
            </w:tcBorders>
          </w:tcPr>
          <w:p w14:paraId="0609CD9A" w14:textId="77777777" w:rsidR="00DF2CA8" w:rsidRDefault="00572503">
            <w:pPr>
              <w:spacing w:after="0"/>
              <w:rPr>
                <w:rFonts w:ascii="Lato" w:hAnsi="Lato"/>
                <w:iCs/>
                <w:color w:val="0070C0"/>
                <w:sz w:val="24"/>
                <w:szCs w:val="24"/>
              </w:rPr>
            </w:pPr>
            <w:r>
              <w:rPr>
                <w:rFonts w:ascii="Lato" w:hAnsi="Lato"/>
                <w:iCs/>
                <w:sz w:val="24"/>
                <w:szCs w:val="24"/>
              </w:rPr>
              <w:t>Accountability</w:t>
            </w:r>
          </w:p>
        </w:tc>
        <w:tc>
          <w:tcPr>
            <w:tcW w:w="4015" w:type="dxa"/>
            <w:tcBorders>
              <w:top w:val="single" w:sz="4" w:space="0" w:color="000000"/>
              <w:left w:val="single" w:sz="4" w:space="0" w:color="000000"/>
              <w:bottom w:val="single" w:sz="4" w:space="0" w:color="000000"/>
              <w:right w:val="single" w:sz="4" w:space="0" w:color="000000"/>
            </w:tcBorders>
          </w:tcPr>
          <w:p w14:paraId="41213C4D"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To what extent were participants informed, consulted and able to use accessible feedback and complaints mechanisms? How was community feedback used to adapt implementation, and were responses timely and appropriate?</w:t>
            </w:r>
          </w:p>
        </w:tc>
        <w:tc>
          <w:tcPr>
            <w:tcW w:w="753" w:type="dxa"/>
            <w:tcBorders>
              <w:top w:val="single" w:sz="4" w:space="0" w:color="000000"/>
              <w:left w:val="single" w:sz="4" w:space="0" w:color="000000"/>
              <w:bottom w:val="single" w:sz="4" w:space="0" w:color="000000"/>
              <w:right w:val="single" w:sz="4" w:space="0" w:color="000000"/>
            </w:tcBorders>
          </w:tcPr>
          <w:p w14:paraId="33132805"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00F31DB0"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09C6A290"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24571594"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3BE394A3" w14:textId="77777777" w:rsidR="00DF2CA8" w:rsidRDefault="00DF2CA8">
            <w:pPr>
              <w:jc w:val="center"/>
              <w:rPr>
                <w:rFonts w:ascii="Lato" w:hAnsi="Lato" w:cstheme="minorHAnsi"/>
                <w:b/>
                <w:bCs/>
                <w:color w:val="0070C0"/>
                <w:sz w:val="24"/>
                <w:szCs w:val="24"/>
              </w:rPr>
            </w:pPr>
          </w:p>
        </w:tc>
      </w:tr>
      <w:tr w:rsidR="00DF2CA8" w14:paraId="1CDAC01C" w14:textId="77777777">
        <w:tc>
          <w:tcPr>
            <w:tcW w:w="1977" w:type="dxa"/>
            <w:tcBorders>
              <w:top w:val="single" w:sz="4" w:space="0" w:color="000000"/>
              <w:left w:val="single" w:sz="4" w:space="0" w:color="000000"/>
              <w:bottom w:val="single" w:sz="4" w:space="0" w:color="000000"/>
              <w:right w:val="single" w:sz="4" w:space="0" w:color="000000"/>
            </w:tcBorders>
          </w:tcPr>
          <w:p w14:paraId="756621AC" w14:textId="77777777" w:rsidR="00DF2CA8" w:rsidRDefault="00572503">
            <w:pPr>
              <w:spacing w:after="0"/>
              <w:rPr>
                <w:rFonts w:ascii="Lato" w:hAnsi="Lato"/>
                <w:iCs/>
                <w:color w:val="0070C0"/>
                <w:sz w:val="24"/>
                <w:szCs w:val="24"/>
              </w:rPr>
            </w:pPr>
            <w:r>
              <w:rPr>
                <w:rFonts w:ascii="Lato" w:hAnsi="Lato"/>
                <w:iCs/>
                <w:sz w:val="24"/>
                <w:szCs w:val="24"/>
              </w:rPr>
              <w:lastRenderedPageBreak/>
              <w:t>Child participation</w:t>
            </w:r>
          </w:p>
        </w:tc>
        <w:tc>
          <w:tcPr>
            <w:tcW w:w="4015" w:type="dxa"/>
            <w:tcBorders>
              <w:top w:val="single" w:sz="4" w:space="0" w:color="000000"/>
              <w:left w:val="single" w:sz="4" w:space="0" w:color="000000"/>
              <w:bottom w:val="single" w:sz="4" w:space="0" w:color="000000"/>
              <w:right w:val="single" w:sz="4" w:space="0" w:color="000000"/>
            </w:tcBorders>
          </w:tcPr>
          <w:p w14:paraId="6A26B0A7"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For young children, how were children’s nutritional needs and lived circumstances represented through caregivers and safe service observations? To what extent were caregiver and community preferences reflected in programme adaptation and end-line interpretation?</w:t>
            </w:r>
          </w:p>
        </w:tc>
        <w:tc>
          <w:tcPr>
            <w:tcW w:w="753" w:type="dxa"/>
            <w:tcBorders>
              <w:top w:val="single" w:sz="4" w:space="0" w:color="000000"/>
              <w:left w:val="single" w:sz="4" w:space="0" w:color="000000"/>
              <w:bottom w:val="single" w:sz="4" w:space="0" w:color="000000"/>
              <w:right w:val="single" w:sz="4" w:space="0" w:color="000000"/>
            </w:tcBorders>
          </w:tcPr>
          <w:p w14:paraId="6953E988"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5332F1B4"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646F646C"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206C81DE"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7DBED412" w14:textId="77777777" w:rsidR="00DF2CA8" w:rsidRDefault="00DF2CA8">
            <w:pPr>
              <w:jc w:val="center"/>
              <w:rPr>
                <w:rFonts w:ascii="Lato" w:hAnsi="Lato" w:cstheme="minorHAnsi"/>
                <w:b/>
                <w:bCs/>
                <w:color w:val="0070C0"/>
                <w:sz w:val="24"/>
                <w:szCs w:val="24"/>
              </w:rPr>
            </w:pPr>
          </w:p>
        </w:tc>
      </w:tr>
      <w:tr w:rsidR="00DF2CA8" w14:paraId="7B7B8067" w14:textId="77777777">
        <w:tc>
          <w:tcPr>
            <w:tcW w:w="1977" w:type="dxa"/>
            <w:tcBorders>
              <w:top w:val="single" w:sz="4" w:space="0" w:color="000000"/>
              <w:left w:val="single" w:sz="4" w:space="0" w:color="000000"/>
              <w:bottom w:val="single" w:sz="4" w:space="0" w:color="000000"/>
              <w:right w:val="single" w:sz="4" w:space="0" w:color="000000"/>
            </w:tcBorders>
          </w:tcPr>
          <w:p w14:paraId="0F08B888" w14:textId="77777777" w:rsidR="00DF2CA8" w:rsidRDefault="00572503">
            <w:pPr>
              <w:spacing w:after="0"/>
              <w:rPr>
                <w:rFonts w:ascii="Lato" w:hAnsi="Lato"/>
                <w:iCs/>
                <w:color w:val="0070C0"/>
                <w:sz w:val="24"/>
                <w:szCs w:val="24"/>
              </w:rPr>
            </w:pPr>
            <w:r>
              <w:rPr>
                <w:rFonts w:ascii="Lato" w:hAnsi="Lato"/>
                <w:iCs/>
                <w:sz w:val="24"/>
                <w:szCs w:val="24"/>
              </w:rPr>
              <w:t>Child rights programming</w:t>
            </w:r>
          </w:p>
        </w:tc>
        <w:tc>
          <w:tcPr>
            <w:tcW w:w="4015" w:type="dxa"/>
            <w:tcBorders>
              <w:top w:val="single" w:sz="4" w:space="0" w:color="000000"/>
              <w:left w:val="single" w:sz="4" w:space="0" w:color="000000"/>
              <w:bottom w:val="single" w:sz="4" w:space="0" w:color="000000"/>
              <w:right w:val="single" w:sz="4" w:space="0" w:color="000000"/>
            </w:tcBorders>
          </w:tcPr>
          <w:p w14:paraId="5C9C0263"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iCs w:val="0"/>
                <w:sz w:val="24"/>
                <w:szCs w:val="24"/>
                <w:lang w:val="en-GB"/>
              </w:rPr>
              <w:t xml:space="preserve">To what extent did </w:t>
            </w:r>
            <w:proofErr w:type="spellStart"/>
            <w:r>
              <w:rPr>
                <w:rFonts w:ascii="Lato" w:hAnsi="Lato"/>
                <w:i w:val="0"/>
                <w:iCs w:val="0"/>
                <w:sz w:val="24"/>
                <w:szCs w:val="24"/>
                <w:lang w:val="en-GB"/>
              </w:rPr>
              <w:t>Assida</w:t>
            </w:r>
            <w:proofErr w:type="spellEnd"/>
            <w:r>
              <w:rPr>
                <w:rFonts w:ascii="Lato" w:hAnsi="Lato"/>
                <w:i w:val="0"/>
                <w:iCs w:val="0"/>
                <w:sz w:val="24"/>
                <w:szCs w:val="24"/>
                <w:lang w:val="en-GB"/>
              </w:rPr>
              <w:t xml:space="preserve"> Plus delivery uphold children’s rights to equitable, non-discriminatory, safe and appropriate nutrition and health support, including timely identification and referral of children requiring treatment?</w:t>
            </w:r>
          </w:p>
        </w:tc>
        <w:tc>
          <w:tcPr>
            <w:tcW w:w="753" w:type="dxa"/>
            <w:tcBorders>
              <w:top w:val="single" w:sz="4" w:space="0" w:color="000000"/>
              <w:left w:val="single" w:sz="4" w:space="0" w:color="000000"/>
              <w:bottom w:val="single" w:sz="4" w:space="0" w:color="000000"/>
              <w:right w:val="single" w:sz="4" w:space="0" w:color="000000"/>
            </w:tcBorders>
          </w:tcPr>
          <w:p w14:paraId="681466A8"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71B31AF0"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7F1D5634"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2381142F"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29F01C54" w14:textId="77777777" w:rsidR="00DF2CA8" w:rsidRDefault="00DF2CA8">
            <w:pPr>
              <w:jc w:val="center"/>
              <w:rPr>
                <w:rFonts w:ascii="Lato" w:hAnsi="Lato" w:cstheme="minorHAnsi"/>
                <w:b/>
                <w:bCs/>
                <w:color w:val="0070C0"/>
                <w:sz w:val="24"/>
                <w:szCs w:val="24"/>
              </w:rPr>
            </w:pPr>
          </w:p>
        </w:tc>
      </w:tr>
      <w:tr w:rsidR="00DF2CA8" w14:paraId="3F11CF38" w14:textId="77777777">
        <w:tc>
          <w:tcPr>
            <w:tcW w:w="1977" w:type="dxa"/>
            <w:tcBorders>
              <w:top w:val="single" w:sz="4" w:space="0" w:color="000000"/>
              <w:left w:val="single" w:sz="4" w:space="0" w:color="000000"/>
              <w:bottom w:val="single" w:sz="4" w:space="0" w:color="000000"/>
              <w:right w:val="single" w:sz="4" w:space="0" w:color="000000"/>
            </w:tcBorders>
          </w:tcPr>
          <w:p w14:paraId="4BF9F0F8" w14:textId="77777777" w:rsidR="00DF2CA8" w:rsidRDefault="00572503">
            <w:pPr>
              <w:spacing w:after="0"/>
              <w:rPr>
                <w:rFonts w:ascii="Lato" w:hAnsi="Lato"/>
                <w:iCs/>
                <w:color w:val="0070C0"/>
                <w:sz w:val="24"/>
                <w:szCs w:val="24"/>
              </w:rPr>
            </w:pPr>
            <w:r>
              <w:rPr>
                <w:rFonts w:ascii="Lato" w:hAnsi="Lato"/>
                <w:iCs/>
                <w:sz w:val="24"/>
                <w:szCs w:val="24"/>
              </w:rPr>
              <w:t>Safe programming</w:t>
            </w:r>
          </w:p>
        </w:tc>
        <w:tc>
          <w:tcPr>
            <w:tcW w:w="4015" w:type="dxa"/>
            <w:tcBorders>
              <w:top w:val="single" w:sz="4" w:space="0" w:color="000000"/>
              <w:left w:val="single" w:sz="4" w:space="0" w:color="000000"/>
              <w:bottom w:val="single" w:sz="4" w:space="0" w:color="000000"/>
              <w:right w:val="single" w:sz="4" w:space="0" w:color="000000"/>
            </w:tcBorders>
          </w:tcPr>
          <w:p w14:paraId="4E9E362E"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What food-safety, safeguarding, crowd-management, referral, privacy, exclusion or other programme-related risks were identified? Were these risks adequately prevented, detected and managed, and were any adverse or unintended effects reported?</w:t>
            </w:r>
          </w:p>
        </w:tc>
        <w:tc>
          <w:tcPr>
            <w:tcW w:w="753" w:type="dxa"/>
            <w:tcBorders>
              <w:top w:val="single" w:sz="4" w:space="0" w:color="000000"/>
              <w:left w:val="single" w:sz="4" w:space="0" w:color="000000"/>
              <w:bottom w:val="single" w:sz="4" w:space="0" w:color="000000"/>
              <w:right w:val="single" w:sz="4" w:space="0" w:color="000000"/>
            </w:tcBorders>
          </w:tcPr>
          <w:p w14:paraId="2691659E"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32F42F3F"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5CC55D5A"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1A9B1AE4"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4B636476" w14:textId="77777777" w:rsidR="00DF2CA8" w:rsidRDefault="00DF2CA8">
            <w:pPr>
              <w:jc w:val="center"/>
              <w:rPr>
                <w:rFonts w:ascii="Lato" w:hAnsi="Lato" w:cstheme="minorHAnsi"/>
                <w:b/>
                <w:bCs/>
                <w:color w:val="0070C0"/>
                <w:sz w:val="24"/>
                <w:szCs w:val="24"/>
              </w:rPr>
            </w:pPr>
          </w:p>
        </w:tc>
      </w:tr>
      <w:tr w:rsidR="00DF2CA8" w14:paraId="2F1D9685" w14:textId="77777777">
        <w:tc>
          <w:tcPr>
            <w:tcW w:w="1977" w:type="dxa"/>
            <w:tcBorders>
              <w:top w:val="single" w:sz="4" w:space="0" w:color="000000"/>
              <w:left w:val="single" w:sz="4" w:space="0" w:color="000000"/>
              <w:bottom w:val="single" w:sz="4" w:space="0" w:color="000000"/>
              <w:right w:val="single" w:sz="4" w:space="0" w:color="000000"/>
            </w:tcBorders>
          </w:tcPr>
          <w:p w14:paraId="294774B5" w14:textId="77777777" w:rsidR="00DF2CA8" w:rsidRDefault="00572503">
            <w:pPr>
              <w:spacing w:after="0"/>
              <w:rPr>
                <w:rFonts w:ascii="Lato" w:hAnsi="Lato"/>
                <w:b/>
                <w:bCs/>
                <w:color w:val="0070C0"/>
                <w:sz w:val="24"/>
                <w:szCs w:val="24"/>
              </w:rPr>
            </w:pPr>
            <w:r>
              <w:rPr>
                <w:rFonts w:ascii="Lato" w:hAnsi="Lato"/>
                <w:b/>
                <w:bCs/>
                <w:sz w:val="24"/>
                <w:szCs w:val="24"/>
              </w:rPr>
              <w:t>Coherence*</w:t>
            </w:r>
          </w:p>
        </w:tc>
        <w:tc>
          <w:tcPr>
            <w:tcW w:w="4015" w:type="dxa"/>
            <w:tcBorders>
              <w:top w:val="single" w:sz="4" w:space="0" w:color="000000"/>
              <w:left w:val="single" w:sz="4" w:space="0" w:color="000000"/>
              <w:bottom w:val="single" w:sz="4" w:space="0" w:color="000000"/>
              <w:right w:val="single" w:sz="4" w:space="0" w:color="000000"/>
            </w:tcBorders>
          </w:tcPr>
          <w:p w14:paraId="355503AB"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 xml:space="preserve">How coherently did </w:t>
            </w:r>
            <w:proofErr w:type="spellStart"/>
            <w:r>
              <w:rPr>
                <w:rFonts w:ascii="Lato" w:hAnsi="Lato"/>
                <w:i w:val="0"/>
                <w:iCs w:val="0"/>
                <w:sz w:val="24"/>
                <w:szCs w:val="24"/>
                <w:lang w:val="en-GB"/>
              </w:rPr>
              <w:t>Assida</w:t>
            </w:r>
            <w:proofErr w:type="spellEnd"/>
            <w:r>
              <w:rPr>
                <w:rFonts w:ascii="Lato" w:hAnsi="Lato"/>
                <w:i w:val="0"/>
                <w:iCs w:val="0"/>
                <w:sz w:val="24"/>
                <w:szCs w:val="24"/>
                <w:lang w:val="en-GB"/>
              </w:rPr>
              <w:t xml:space="preserve"> Plus function with CMAM/OTP/TSFP/stabilization services, IYCF, primary health care, immunisation and referral systems? During periods or in locations where TSFP was interrupted or unavailable, what service pathway was available to children identified with MAM, what happened to their nutritional status, and how </w:t>
            </w:r>
            <w:r>
              <w:rPr>
                <w:rFonts w:ascii="Lato" w:hAnsi="Lato"/>
                <w:i w:val="0"/>
                <w:iCs w:val="0"/>
                <w:sz w:val="24"/>
                <w:szCs w:val="24"/>
                <w:lang w:val="en-GB"/>
              </w:rPr>
              <w:lastRenderedPageBreak/>
              <w:t>effectively were referral and follow-up maintained?</w:t>
            </w:r>
          </w:p>
        </w:tc>
        <w:tc>
          <w:tcPr>
            <w:tcW w:w="753" w:type="dxa"/>
            <w:tcBorders>
              <w:top w:val="single" w:sz="4" w:space="0" w:color="000000"/>
              <w:left w:val="single" w:sz="4" w:space="0" w:color="000000"/>
              <w:bottom w:val="single" w:sz="4" w:space="0" w:color="000000"/>
              <w:right w:val="single" w:sz="4" w:space="0" w:color="000000"/>
            </w:tcBorders>
          </w:tcPr>
          <w:p w14:paraId="197A8EA4" w14:textId="77777777" w:rsidR="00DF2CA8" w:rsidRDefault="00572503">
            <w:pPr>
              <w:jc w:val="center"/>
              <w:rPr>
                <w:rFonts w:ascii="Lato" w:hAnsi="Lato"/>
                <w:b/>
                <w:bCs/>
                <w:color w:val="0070C0"/>
                <w:sz w:val="24"/>
                <w:szCs w:val="24"/>
              </w:rPr>
            </w:pPr>
            <w:r>
              <w:rPr>
                <w:rFonts w:ascii="Lato" w:hAnsi="Lato"/>
                <w:b/>
                <w:bCs/>
                <w:sz w:val="24"/>
                <w:szCs w:val="24"/>
              </w:rPr>
              <w:lastRenderedPageBreak/>
              <w:t>X</w:t>
            </w:r>
          </w:p>
        </w:tc>
        <w:tc>
          <w:tcPr>
            <w:tcW w:w="612" w:type="dxa"/>
            <w:tcBorders>
              <w:top w:val="single" w:sz="4" w:space="0" w:color="000000"/>
              <w:left w:val="single" w:sz="4" w:space="0" w:color="000000"/>
              <w:bottom w:val="single" w:sz="4" w:space="0" w:color="000000"/>
              <w:right w:val="single" w:sz="4" w:space="0" w:color="000000"/>
            </w:tcBorders>
          </w:tcPr>
          <w:p w14:paraId="0DBEE30D" w14:textId="77777777" w:rsidR="00DF2CA8" w:rsidRDefault="00572503">
            <w:pPr>
              <w:jc w:val="center"/>
              <w:rPr>
                <w:rFonts w:ascii="Lato" w:hAnsi="Lato"/>
                <w:b/>
                <w:bCs/>
                <w:color w:val="0070C0"/>
                <w:sz w:val="24"/>
                <w:szCs w:val="24"/>
              </w:rPr>
            </w:pPr>
            <w:r>
              <w:rPr>
                <w:rFonts w:ascii="Lato" w:hAnsi="Lato"/>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6F192969"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33568A1F"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19FD8D2C" w14:textId="77777777" w:rsidR="00DF2CA8" w:rsidRDefault="00DF2CA8">
            <w:pPr>
              <w:jc w:val="center"/>
              <w:rPr>
                <w:rFonts w:ascii="Lato" w:hAnsi="Lato"/>
                <w:b/>
                <w:bCs/>
                <w:color w:val="0070C0"/>
                <w:sz w:val="24"/>
                <w:szCs w:val="24"/>
              </w:rPr>
            </w:pPr>
          </w:p>
        </w:tc>
      </w:tr>
      <w:tr w:rsidR="00DF2CA8" w14:paraId="3DD8F7FD" w14:textId="77777777">
        <w:tc>
          <w:tcPr>
            <w:tcW w:w="1977" w:type="dxa"/>
            <w:tcBorders>
              <w:top w:val="single" w:sz="4" w:space="0" w:color="000000"/>
              <w:left w:val="single" w:sz="4" w:space="0" w:color="000000"/>
              <w:bottom w:val="single" w:sz="4" w:space="0" w:color="000000"/>
              <w:right w:val="single" w:sz="4" w:space="0" w:color="000000"/>
            </w:tcBorders>
          </w:tcPr>
          <w:p w14:paraId="1D243560" w14:textId="77777777" w:rsidR="00DF2CA8" w:rsidRDefault="00572503">
            <w:pPr>
              <w:spacing w:after="0"/>
              <w:rPr>
                <w:rFonts w:ascii="Lato" w:hAnsi="Lato"/>
                <w:iCs/>
                <w:color w:val="0070C0"/>
                <w:sz w:val="24"/>
                <w:szCs w:val="24"/>
              </w:rPr>
            </w:pPr>
            <w:r>
              <w:rPr>
                <w:rFonts w:ascii="Lato" w:hAnsi="Lato"/>
                <w:iCs/>
                <w:sz w:val="24"/>
                <w:szCs w:val="24"/>
              </w:rPr>
              <w:t>Cost-benefit</w:t>
            </w:r>
          </w:p>
        </w:tc>
        <w:tc>
          <w:tcPr>
            <w:tcW w:w="4015" w:type="dxa"/>
            <w:tcBorders>
              <w:top w:val="single" w:sz="4" w:space="0" w:color="000000"/>
              <w:left w:val="single" w:sz="4" w:space="0" w:color="000000"/>
              <w:bottom w:val="single" w:sz="4" w:space="0" w:color="000000"/>
              <w:right w:val="single" w:sz="4" w:space="0" w:color="000000"/>
            </w:tcBorders>
          </w:tcPr>
          <w:p w14:paraId="11205B2D"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 xml:space="preserve">What were the total and component costs of delivering </w:t>
            </w:r>
            <w:proofErr w:type="spellStart"/>
            <w:r>
              <w:rPr>
                <w:rFonts w:ascii="Lato" w:hAnsi="Lato"/>
                <w:i w:val="0"/>
                <w:sz w:val="24"/>
                <w:szCs w:val="24"/>
                <w:lang w:val="en-GB"/>
              </w:rPr>
              <w:t>Assida</w:t>
            </w:r>
            <w:proofErr w:type="spellEnd"/>
            <w:r>
              <w:rPr>
                <w:rFonts w:ascii="Lato" w:hAnsi="Lato"/>
                <w:i w:val="0"/>
                <w:sz w:val="24"/>
                <w:szCs w:val="24"/>
                <w:lang w:val="en-GB"/>
              </w:rPr>
              <w:t xml:space="preserve"> Plus, including food, procurement, logistics, community delivery, counselling, screening, supervision and monitoring? Where local production/preparation was used, how did its costs, quality assurance and supply performance compare with feasible alternatives, and is a defensible monetised benefit analysis possible with the available outcome data?</w:t>
            </w:r>
          </w:p>
        </w:tc>
        <w:tc>
          <w:tcPr>
            <w:tcW w:w="753" w:type="dxa"/>
            <w:tcBorders>
              <w:top w:val="single" w:sz="4" w:space="0" w:color="000000"/>
              <w:left w:val="single" w:sz="4" w:space="0" w:color="000000"/>
              <w:bottom w:val="single" w:sz="4" w:space="0" w:color="000000"/>
              <w:right w:val="single" w:sz="4" w:space="0" w:color="000000"/>
            </w:tcBorders>
          </w:tcPr>
          <w:p w14:paraId="215682C6"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0EE3ACF7"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4F6F3AB3" w14:textId="77777777" w:rsidR="00DF2CA8" w:rsidRDefault="00DF2CA8">
            <w:pPr>
              <w:jc w:val="center"/>
              <w:rPr>
                <w:rFonts w:ascii="Lato" w:hAnsi="Lato" w:cstheme="minorHAnsi"/>
                <w:b/>
                <w:bCs/>
                <w:color w:val="0070C0"/>
                <w:sz w:val="24"/>
                <w:szCs w:val="24"/>
              </w:rPr>
            </w:pPr>
          </w:p>
        </w:tc>
        <w:tc>
          <w:tcPr>
            <w:tcW w:w="518" w:type="dxa"/>
            <w:tcBorders>
              <w:top w:val="single" w:sz="4" w:space="0" w:color="000000"/>
              <w:left w:val="single" w:sz="4" w:space="0" w:color="000000"/>
              <w:bottom w:val="single" w:sz="4" w:space="0" w:color="000000"/>
              <w:right w:val="single" w:sz="4" w:space="0" w:color="000000"/>
            </w:tcBorders>
          </w:tcPr>
          <w:p w14:paraId="792BBCFD"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1DFE3F8E"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r>
      <w:tr w:rsidR="00DF2CA8" w14:paraId="5FEA8289" w14:textId="77777777">
        <w:tc>
          <w:tcPr>
            <w:tcW w:w="1977" w:type="dxa"/>
            <w:tcBorders>
              <w:top w:val="single" w:sz="4" w:space="0" w:color="000000"/>
              <w:left w:val="single" w:sz="4" w:space="0" w:color="000000"/>
              <w:bottom w:val="single" w:sz="4" w:space="0" w:color="000000"/>
              <w:right w:val="single" w:sz="4" w:space="0" w:color="000000"/>
            </w:tcBorders>
          </w:tcPr>
          <w:p w14:paraId="47AE70BD" w14:textId="77777777" w:rsidR="00DF2CA8" w:rsidRDefault="00572503">
            <w:pPr>
              <w:spacing w:after="0"/>
              <w:rPr>
                <w:rFonts w:ascii="Lato" w:hAnsi="Lato"/>
                <w:iCs/>
                <w:color w:val="0070C0"/>
                <w:sz w:val="24"/>
                <w:szCs w:val="24"/>
              </w:rPr>
            </w:pPr>
            <w:r>
              <w:rPr>
                <w:rFonts w:ascii="Lato" w:hAnsi="Lato"/>
                <w:iCs/>
                <w:sz w:val="24"/>
                <w:szCs w:val="24"/>
              </w:rPr>
              <w:t>Cost effectiveness</w:t>
            </w:r>
          </w:p>
        </w:tc>
        <w:tc>
          <w:tcPr>
            <w:tcW w:w="4015" w:type="dxa"/>
            <w:tcBorders>
              <w:top w:val="single" w:sz="4" w:space="0" w:color="000000"/>
              <w:left w:val="single" w:sz="4" w:space="0" w:color="000000"/>
              <w:bottom w:val="single" w:sz="4" w:space="0" w:color="000000"/>
              <w:right w:val="single" w:sz="4" w:space="0" w:color="000000"/>
            </w:tcBorders>
          </w:tcPr>
          <w:p w14:paraId="0A27D59C"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iCs w:val="0"/>
                <w:sz w:val="24"/>
                <w:szCs w:val="24"/>
              </w:rPr>
              <w:t xml:space="preserve">What was the cost per participant enrolled and fully reached, per completed distribution/counselling cycle and per child screened/referred? Where outcome linkage is sufficiently robust, what is the exploratory cost per </w:t>
            </w:r>
            <w:proofErr w:type="spellStart"/>
            <w:r>
              <w:rPr>
                <w:rFonts w:ascii="Lato" w:hAnsi="Lato"/>
                <w:i w:val="0"/>
                <w:iCs w:val="0"/>
                <w:sz w:val="24"/>
                <w:szCs w:val="24"/>
              </w:rPr>
              <w:t>favourable</w:t>
            </w:r>
            <w:proofErr w:type="spellEnd"/>
            <w:r>
              <w:rPr>
                <w:rFonts w:ascii="Lato" w:hAnsi="Lato"/>
                <w:i w:val="0"/>
                <w:iCs w:val="0"/>
                <w:sz w:val="24"/>
                <w:szCs w:val="24"/>
              </w:rPr>
              <w:t xml:space="preserve"> nutrition outcome? Where local production/preparation was used, what were unit and operational costs, major cost drivers and cost implications for reliable scale-up?</w:t>
            </w:r>
          </w:p>
        </w:tc>
        <w:tc>
          <w:tcPr>
            <w:tcW w:w="753" w:type="dxa"/>
            <w:tcBorders>
              <w:top w:val="single" w:sz="4" w:space="0" w:color="000000"/>
              <w:left w:val="single" w:sz="4" w:space="0" w:color="000000"/>
              <w:bottom w:val="single" w:sz="4" w:space="0" w:color="000000"/>
              <w:right w:val="single" w:sz="4" w:space="0" w:color="000000"/>
            </w:tcBorders>
          </w:tcPr>
          <w:p w14:paraId="353A7812"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1F1D1F6F"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3B4BB772" w14:textId="77777777" w:rsidR="00DF2CA8" w:rsidRDefault="00DF2CA8">
            <w:pPr>
              <w:jc w:val="center"/>
              <w:rPr>
                <w:rFonts w:ascii="Lato" w:hAnsi="Lato" w:cstheme="minorHAnsi"/>
                <w:b/>
                <w:bCs/>
                <w:color w:val="0070C0"/>
                <w:sz w:val="24"/>
                <w:szCs w:val="24"/>
              </w:rPr>
            </w:pPr>
          </w:p>
        </w:tc>
        <w:tc>
          <w:tcPr>
            <w:tcW w:w="518" w:type="dxa"/>
            <w:tcBorders>
              <w:top w:val="single" w:sz="4" w:space="0" w:color="000000"/>
              <w:left w:val="single" w:sz="4" w:space="0" w:color="000000"/>
              <w:bottom w:val="single" w:sz="4" w:space="0" w:color="000000"/>
              <w:right w:val="single" w:sz="4" w:space="0" w:color="000000"/>
            </w:tcBorders>
          </w:tcPr>
          <w:p w14:paraId="62C96D40"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64710C1C"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r>
      <w:tr w:rsidR="00DF2CA8" w14:paraId="3EB97ABE" w14:textId="77777777">
        <w:tc>
          <w:tcPr>
            <w:tcW w:w="1977" w:type="dxa"/>
            <w:tcBorders>
              <w:top w:val="single" w:sz="4" w:space="0" w:color="000000"/>
              <w:left w:val="single" w:sz="4" w:space="0" w:color="000000"/>
              <w:bottom w:val="single" w:sz="4" w:space="0" w:color="000000"/>
              <w:right w:val="single" w:sz="4" w:space="0" w:color="000000"/>
            </w:tcBorders>
          </w:tcPr>
          <w:p w14:paraId="429E9EFB" w14:textId="77777777" w:rsidR="00DF2CA8" w:rsidRDefault="00572503">
            <w:pPr>
              <w:spacing w:after="0"/>
              <w:rPr>
                <w:rFonts w:ascii="Lato" w:hAnsi="Lato"/>
                <w:iCs/>
                <w:color w:val="0070C0"/>
                <w:sz w:val="24"/>
                <w:szCs w:val="24"/>
              </w:rPr>
            </w:pPr>
            <w:r>
              <w:rPr>
                <w:rFonts w:ascii="Lato" w:hAnsi="Lato"/>
                <w:b/>
                <w:bCs/>
                <w:sz w:val="24"/>
                <w:szCs w:val="24"/>
              </w:rPr>
              <w:t>Effectiveness*</w:t>
            </w:r>
          </w:p>
        </w:tc>
        <w:tc>
          <w:tcPr>
            <w:tcW w:w="4015" w:type="dxa"/>
            <w:tcBorders>
              <w:top w:val="single" w:sz="4" w:space="0" w:color="000000"/>
              <w:left w:val="single" w:sz="4" w:space="0" w:color="000000"/>
              <w:bottom w:val="single" w:sz="4" w:space="0" w:color="000000"/>
              <w:right w:val="single" w:sz="4" w:space="0" w:color="000000"/>
            </w:tcBorders>
          </w:tcPr>
          <w:p w14:paraId="5A45DB86"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 xml:space="preserve">To what extent was </w:t>
            </w:r>
            <w:proofErr w:type="spellStart"/>
            <w:r>
              <w:rPr>
                <w:rFonts w:ascii="Lato" w:hAnsi="Lato"/>
                <w:i w:val="0"/>
                <w:sz w:val="24"/>
                <w:szCs w:val="24"/>
                <w:lang w:val="en-GB"/>
              </w:rPr>
              <w:t>Assida</w:t>
            </w:r>
            <w:proofErr w:type="spellEnd"/>
            <w:r>
              <w:rPr>
                <w:rFonts w:ascii="Lato" w:hAnsi="Lato"/>
                <w:i w:val="0"/>
                <w:sz w:val="24"/>
                <w:szCs w:val="24"/>
                <w:lang w:val="en-GB"/>
              </w:rPr>
              <w:t xml:space="preserve"> Plus associated with prevention of new or worsening acute malnutrition among children under five? What do repeated MUAC/oedema and retrospectively calculated WHZ </w:t>
            </w:r>
            <w:r>
              <w:rPr>
                <w:rFonts w:ascii="Lato" w:hAnsi="Lato"/>
                <w:i w:val="0"/>
                <w:sz w:val="24"/>
                <w:szCs w:val="24"/>
                <w:lang w:val="en-GB"/>
              </w:rPr>
              <w:lastRenderedPageBreak/>
              <w:t>from valid card measurements show about trajectories, incident MAM/SAM, recovery, treatment/referral outcomes and relapse, including children who became malnourished during programme participation? Among children 6–23 months, what proportion achieved minimum acceptable diet, and how did outcomes vary by food-based versus SBC/non-food exposure, dose, subgroup and TSFP functionality?</w:t>
            </w:r>
          </w:p>
        </w:tc>
        <w:tc>
          <w:tcPr>
            <w:tcW w:w="753" w:type="dxa"/>
            <w:tcBorders>
              <w:top w:val="single" w:sz="4" w:space="0" w:color="000000"/>
              <w:left w:val="single" w:sz="4" w:space="0" w:color="000000"/>
              <w:bottom w:val="single" w:sz="4" w:space="0" w:color="000000"/>
              <w:right w:val="single" w:sz="4" w:space="0" w:color="000000"/>
            </w:tcBorders>
          </w:tcPr>
          <w:p w14:paraId="45038370"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32D63EC6"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6032F8A9"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1E7A5738"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5670C16E" w14:textId="77777777" w:rsidR="00DF2CA8" w:rsidRDefault="00DF2CA8">
            <w:pPr>
              <w:jc w:val="center"/>
              <w:rPr>
                <w:rFonts w:ascii="Lato" w:hAnsi="Lato" w:cstheme="minorHAnsi"/>
                <w:b/>
                <w:bCs/>
                <w:color w:val="0070C0"/>
                <w:sz w:val="24"/>
                <w:szCs w:val="24"/>
              </w:rPr>
            </w:pPr>
          </w:p>
        </w:tc>
      </w:tr>
      <w:tr w:rsidR="00DF2CA8" w14:paraId="74AB58E6" w14:textId="77777777">
        <w:tc>
          <w:tcPr>
            <w:tcW w:w="1977" w:type="dxa"/>
            <w:tcBorders>
              <w:top w:val="single" w:sz="4" w:space="0" w:color="000000"/>
              <w:left w:val="single" w:sz="4" w:space="0" w:color="000000"/>
              <w:bottom w:val="single" w:sz="4" w:space="0" w:color="000000"/>
              <w:right w:val="single" w:sz="4" w:space="0" w:color="000000"/>
            </w:tcBorders>
          </w:tcPr>
          <w:p w14:paraId="6CA6A66F" w14:textId="77777777" w:rsidR="00DF2CA8" w:rsidRDefault="00572503">
            <w:pPr>
              <w:spacing w:after="0"/>
              <w:rPr>
                <w:rFonts w:ascii="Lato" w:hAnsi="Lato"/>
                <w:iCs/>
                <w:color w:val="0070C0"/>
                <w:sz w:val="24"/>
                <w:szCs w:val="24"/>
              </w:rPr>
            </w:pPr>
            <w:r>
              <w:rPr>
                <w:rFonts w:ascii="Lato" w:hAnsi="Lato"/>
                <w:b/>
                <w:bCs/>
                <w:sz w:val="24"/>
                <w:szCs w:val="24"/>
              </w:rPr>
              <w:t>Efficiency*</w:t>
            </w:r>
          </w:p>
        </w:tc>
        <w:tc>
          <w:tcPr>
            <w:tcW w:w="4015" w:type="dxa"/>
            <w:tcBorders>
              <w:top w:val="single" w:sz="4" w:space="0" w:color="000000"/>
              <w:left w:val="single" w:sz="4" w:space="0" w:color="000000"/>
              <w:bottom w:val="single" w:sz="4" w:space="0" w:color="000000"/>
              <w:right w:val="single" w:sz="4" w:space="0" w:color="000000"/>
            </w:tcBorders>
          </w:tcPr>
          <w:p w14:paraId="504BE13E"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Were the intended package components delivered on time and with adequate continuity, ration quantity and service availability? How did stock-outs, access constraints, implementation delays, TSFP interruptions and other operational bottlenecks affect dose, coverage, screening/treatment trends, nutrition outcomes and cost? Can interruption days be linked to measurable changes in programme performance?</w:t>
            </w:r>
          </w:p>
        </w:tc>
        <w:tc>
          <w:tcPr>
            <w:tcW w:w="753" w:type="dxa"/>
            <w:tcBorders>
              <w:top w:val="single" w:sz="4" w:space="0" w:color="000000"/>
              <w:left w:val="single" w:sz="4" w:space="0" w:color="000000"/>
              <w:bottom w:val="single" w:sz="4" w:space="0" w:color="000000"/>
              <w:right w:val="single" w:sz="4" w:space="0" w:color="000000"/>
            </w:tcBorders>
          </w:tcPr>
          <w:p w14:paraId="0A0CD72D"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29A7900C"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1C4DE6C4"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739AAED6"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10324C72"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r>
      <w:tr w:rsidR="00DF2CA8" w14:paraId="0D002546" w14:textId="77777777">
        <w:tc>
          <w:tcPr>
            <w:tcW w:w="1977" w:type="dxa"/>
            <w:tcBorders>
              <w:top w:val="single" w:sz="4" w:space="0" w:color="000000"/>
              <w:left w:val="single" w:sz="4" w:space="0" w:color="000000"/>
              <w:bottom w:val="single" w:sz="4" w:space="0" w:color="000000"/>
              <w:right w:val="single" w:sz="4" w:space="0" w:color="000000"/>
            </w:tcBorders>
          </w:tcPr>
          <w:p w14:paraId="6C7E6531" w14:textId="77777777" w:rsidR="00DF2CA8" w:rsidRDefault="00572503">
            <w:pPr>
              <w:spacing w:after="0"/>
              <w:rPr>
                <w:rFonts w:ascii="Lato" w:hAnsi="Lato"/>
                <w:iCs/>
                <w:color w:val="0070C0"/>
                <w:sz w:val="24"/>
                <w:szCs w:val="24"/>
              </w:rPr>
            </w:pPr>
            <w:r>
              <w:rPr>
                <w:rFonts w:ascii="Lato" w:hAnsi="Lato"/>
                <w:sz w:val="24"/>
                <w:szCs w:val="24"/>
              </w:rPr>
              <w:t>Equity and equality</w:t>
            </w:r>
          </w:p>
        </w:tc>
        <w:tc>
          <w:tcPr>
            <w:tcW w:w="4015" w:type="dxa"/>
            <w:tcBorders>
              <w:top w:val="single" w:sz="4" w:space="0" w:color="000000"/>
              <w:left w:val="single" w:sz="4" w:space="0" w:color="000000"/>
              <w:bottom w:val="single" w:sz="4" w:space="0" w:color="000000"/>
              <w:right w:val="single" w:sz="4" w:space="0" w:color="000000"/>
            </w:tcBorders>
          </w:tcPr>
          <w:p w14:paraId="47FCE988"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Were reach, service completion and nutrition-related outcomes equitable by sex, age, disability, displacement status, remoteness, household food security/vulnerability and other relevant characteristics? Which groups faced disproportionate access barriers or costs?</w:t>
            </w:r>
          </w:p>
        </w:tc>
        <w:tc>
          <w:tcPr>
            <w:tcW w:w="753" w:type="dxa"/>
            <w:tcBorders>
              <w:top w:val="single" w:sz="4" w:space="0" w:color="000000"/>
              <w:left w:val="single" w:sz="4" w:space="0" w:color="000000"/>
              <w:bottom w:val="single" w:sz="4" w:space="0" w:color="000000"/>
              <w:right w:val="single" w:sz="4" w:space="0" w:color="000000"/>
            </w:tcBorders>
          </w:tcPr>
          <w:p w14:paraId="4C97F36D"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7C628173"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6A0D0559"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109308D1"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73C5F976"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r>
      <w:tr w:rsidR="00DF2CA8" w14:paraId="30F71753" w14:textId="77777777">
        <w:tc>
          <w:tcPr>
            <w:tcW w:w="1977" w:type="dxa"/>
            <w:tcBorders>
              <w:top w:val="single" w:sz="4" w:space="0" w:color="000000"/>
              <w:left w:val="single" w:sz="4" w:space="0" w:color="000000"/>
              <w:bottom w:val="single" w:sz="4" w:space="0" w:color="000000"/>
              <w:right w:val="single" w:sz="4" w:space="0" w:color="000000"/>
            </w:tcBorders>
          </w:tcPr>
          <w:p w14:paraId="59A29637" w14:textId="77777777" w:rsidR="00DF2CA8" w:rsidRDefault="00572503">
            <w:pPr>
              <w:spacing w:after="0"/>
              <w:rPr>
                <w:rFonts w:ascii="Lato" w:hAnsi="Lato"/>
                <w:iCs/>
                <w:color w:val="0070C0"/>
                <w:sz w:val="24"/>
                <w:szCs w:val="24"/>
              </w:rPr>
            </w:pPr>
            <w:r>
              <w:rPr>
                <w:rFonts w:ascii="Lato" w:hAnsi="Lato"/>
                <w:iCs/>
                <w:sz w:val="24"/>
                <w:szCs w:val="24"/>
              </w:rPr>
              <w:lastRenderedPageBreak/>
              <w:t>Fidelity</w:t>
            </w:r>
          </w:p>
        </w:tc>
        <w:tc>
          <w:tcPr>
            <w:tcW w:w="4015" w:type="dxa"/>
            <w:tcBorders>
              <w:top w:val="single" w:sz="4" w:space="0" w:color="000000"/>
              <w:left w:val="single" w:sz="4" w:space="0" w:color="000000"/>
              <w:bottom w:val="single" w:sz="4" w:space="0" w:color="000000"/>
              <w:right w:val="single" w:sz="4" w:space="0" w:color="000000"/>
            </w:tcBorders>
          </w:tcPr>
          <w:p w14:paraId="4D69A721"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 xml:space="preserve">Was </w:t>
            </w:r>
            <w:proofErr w:type="spellStart"/>
            <w:r>
              <w:rPr>
                <w:rFonts w:ascii="Lato" w:hAnsi="Lato"/>
                <w:i w:val="0"/>
                <w:iCs w:val="0"/>
                <w:sz w:val="24"/>
                <w:szCs w:val="24"/>
                <w:lang w:val="en-GB"/>
              </w:rPr>
              <w:t>Assida</w:t>
            </w:r>
            <w:proofErr w:type="spellEnd"/>
            <w:r>
              <w:rPr>
                <w:rFonts w:ascii="Lato" w:hAnsi="Lato"/>
                <w:i w:val="0"/>
                <w:iCs w:val="0"/>
                <w:sz w:val="24"/>
                <w:szCs w:val="24"/>
                <w:lang w:val="en-GB"/>
              </w:rPr>
              <w:t xml:space="preserve"> Plus implemented according to agreed eligibility, screening, ration, counselling/SBC, referral, follow-up and quality procedures? What material deviations occurred, why did they occur, and what was their relationship with participant exposure and outcomes?</w:t>
            </w:r>
          </w:p>
        </w:tc>
        <w:tc>
          <w:tcPr>
            <w:tcW w:w="753" w:type="dxa"/>
            <w:tcBorders>
              <w:top w:val="single" w:sz="4" w:space="0" w:color="000000"/>
              <w:left w:val="single" w:sz="4" w:space="0" w:color="000000"/>
              <w:bottom w:val="single" w:sz="4" w:space="0" w:color="000000"/>
              <w:right w:val="single" w:sz="4" w:space="0" w:color="000000"/>
            </w:tcBorders>
          </w:tcPr>
          <w:p w14:paraId="693D6D16" w14:textId="77777777" w:rsidR="00DF2CA8" w:rsidRDefault="00DF2CA8">
            <w:pPr>
              <w:jc w:val="center"/>
              <w:rPr>
                <w:rFonts w:ascii="Lato" w:hAnsi="Lato"/>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748EC57F" w14:textId="77777777" w:rsidR="00DF2CA8" w:rsidRDefault="00572503">
            <w:pPr>
              <w:jc w:val="center"/>
              <w:rPr>
                <w:rFonts w:ascii="Lato" w:hAnsi="Lato"/>
                <w:b/>
                <w:bCs/>
                <w:color w:val="0070C0"/>
                <w:sz w:val="24"/>
                <w:szCs w:val="24"/>
              </w:rPr>
            </w:pPr>
            <w:r>
              <w:rPr>
                <w:rFonts w:ascii="Lato" w:hAnsi="Lato"/>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243B978B"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1D317375"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0D271FAE" w14:textId="77777777" w:rsidR="00DF2CA8" w:rsidRDefault="00DF2CA8">
            <w:pPr>
              <w:jc w:val="center"/>
              <w:rPr>
                <w:rFonts w:ascii="Lato" w:hAnsi="Lato"/>
                <w:b/>
                <w:bCs/>
                <w:color w:val="0070C0"/>
                <w:sz w:val="24"/>
                <w:szCs w:val="24"/>
              </w:rPr>
            </w:pPr>
          </w:p>
        </w:tc>
      </w:tr>
      <w:tr w:rsidR="00DF2CA8" w14:paraId="29CFBB78" w14:textId="77777777">
        <w:tc>
          <w:tcPr>
            <w:tcW w:w="1977" w:type="dxa"/>
            <w:tcBorders>
              <w:top w:val="single" w:sz="4" w:space="0" w:color="000000"/>
              <w:left w:val="single" w:sz="4" w:space="0" w:color="000000"/>
              <w:bottom w:val="single" w:sz="4" w:space="0" w:color="000000"/>
              <w:right w:val="single" w:sz="4" w:space="0" w:color="000000"/>
            </w:tcBorders>
          </w:tcPr>
          <w:p w14:paraId="12469F13" w14:textId="77777777" w:rsidR="00DF2CA8" w:rsidRDefault="00572503">
            <w:pPr>
              <w:spacing w:after="0"/>
              <w:rPr>
                <w:rFonts w:ascii="Lato" w:hAnsi="Lato"/>
                <w:iCs/>
                <w:color w:val="0070C0"/>
                <w:sz w:val="24"/>
                <w:szCs w:val="24"/>
              </w:rPr>
            </w:pPr>
            <w:r>
              <w:rPr>
                <w:rFonts w:ascii="Lato" w:hAnsi="Lato"/>
                <w:b/>
                <w:bCs/>
                <w:sz w:val="24"/>
                <w:szCs w:val="24"/>
              </w:rPr>
              <w:t>Impact*</w:t>
            </w:r>
          </w:p>
        </w:tc>
        <w:tc>
          <w:tcPr>
            <w:tcW w:w="4015" w:type="dxa"/>
            <w:tcBorders>
              <w:top w:val="single" w:sz="4" w:space="0" w:color="000000"/>
              <w:left w:val="single" w:sz="4" w:space="0" w:color="000000"/>
              <w:bottom w:val="single" w:sz="4" w:space="0" w:color="000000"/>
              <w:right w:val="single" w:sz="4" w:space="0" w:color="000000"/>
            </w:tcBorders>
          </w:tcPr>
          <w:p w14:paraId="3A51602A"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 xml:space="preserve">What evidence supports a contribution of </w:t>
            </w:r>
            <w:proofErr w:type="spellStart"/>
            <w:r>
              <w:rPr>
                <w:rFonts w:ascii="Lato" w:hAnsi="Lato"/>
                <w:i w:val="0"/>
                <w:iCs w:val="0"/>
                <w:sz w:val="24"/>
                <w:szCs w:val="24"/>
                <w:lang w:val="en-GB"/>
              </w:rPr>
              <w:t>Assida</w:t>
            </w:r>
            <w:proofErr w:type="spellEnd"/>
            <w:r>
              <w:rPr>
                <w:rFonts w:ascii="Lato" w:hAnsi="Lato"/>
                <w:i w:val="0"/>
                <w:iCs w:val="0"/>
                <w:sz w:val="24"/>
                <w:szCs w:val="24"/>
                <w:lang w:val="en-GB"/>
              </w:rPr>
              <w:t xml:space="preserve"> Plus to preventing deterioration to MAM/SAM, supporting recovery trajectories and improving nutrition-related practices and service pathways? How do findings differ across food-based and SBC/non-food exposure, dose and TSFP-functionality contexts, and what alternative factors or concurrent interventions could explain observed changes? What intended or unintended effects should inform future programme design?</w:t>
            </w:r>
          </w:p>
        </w:tc>
        <w:tc>
          <w:tcPr>
            <w:tcW w:w="753" w:type="dxa"/>
            <w:tcBorders>
              <w:top w:val="single" w:sz="4" w:space="0" w:color="000000"/>
              <w:left w:val="single" w:sz="4" w:space="0" w:color="000000"/>
              <w:bottom w:val="single" w:sz="4" w:space="0" w:color="000000"/>
              <w:right w:val="single" w:sz="4" w:space="0" w:color="000000"/>
            </w:tcBorders>
          </w:tcPr>
          <w:p w14:paraId="5EE2F0F1"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4342248B"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5B80BDEA" w14:textId="77777777" w:rsidR="00DF2CA8" w:rsidRDefault="00DF2CA8">
            <w:pPr>
              <w:jc w:val="center"/>
              <w:rPr>
                <w:rFonts w:ascii="Lato" w:hAnsi="Lato" w:cstheme="minorHAnsi"/>
                <w:b/>
                <w:bCs/>
                <w:color w:val="0070C0"/>
                <w:sz w:val="24"/>
                <w:szCs w:val="24"/>
              </w:rPr>
            </w:pPr>
          </w:p>
        </w:tc>
        <w:tc>
          <w:tcPr>
            <w:tcW w:w="518" w:type="dxa"/>
            <w:tcBorders>
              <w:top w:val="single" w:sz="4" w:space="0" w:color="000000"/>
              <w:left w:val="single" w:sz="4" w:space="0" w:color="000000"/>
              <w:bottom w:val="single" w:sz="4" w:space="0" w:color="000000"/>
              <w:right w:val="single" w:sz="4" w:space="0" w:color="000000"/>
            </w:tcBorders>
          </w:tcPr>
          <w:p w14:paraId="7502968B"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7F5638D8" w14:textId="77777777" w:rsidR="00DF2CA8" w:rsidRDefault="00DF2CA8">
            <w:pPr>
              <w:jc w:val="center"/>
              <w:rPr>
                <w:rFonts w:ascii="Lato" w:hAnsi="Lato" w:cstheme="minorHAnsi"/>
                <w:b/>
                <w:bCs/>
                <w:color w:val="0070C0"/>
                <w:sz w:val="24"/>
                <w:szCs w:val="24"/>
              </w:rPr>
            </w:pPr>
          </w:p>
        </w:tc>
      </w:tr>
      <w:tr w:rsidR="00DF2CA8" w14:paraId="33E2E695" w14:textId="77777777">
        <w:tc>
          <w:tcPr>
            <w:tcW w:w="1977" w:type="dxa"/>
            <w:tcBorders>
              <w:top w:val="single" w:sz="4" w:space="0" w:color="000000"/>
              <w:left w:val="single" w:sz="4" w:space="0" w:color="000000"/>
              <w:bottom w:val="single" w:sz="4" w:space="0" w:color="000000"/>
              <w:right w:val="single" w:sz="4" w:space="0" w:color="000000"/>
            </w:tcBorders>
          </w:tcPr>
          <w:p w14:paraId="2157ADF5" w14:textId="77777777" w:rsidR="00DF2CA8" w:rsidRDefault="00572503">
            <w:pPr>
              <w:spacing w:after="0"/>
              <w:rPr>
                <w:rFonts w:ascii="Lato" w:hAnsi="Lato"/>
                <w:iCs/>
                <w:color w:val="0070C0"/>
                <w:sz w:val="24"/>
                <w:szCs w:val="24"/>
              </w:rPr>
            </w:pPr>
            <w:r>
              <w:rPr>
                <w:rFonts w:ascii="Lato" w:hAnsi="Lato"/>
                <w:iCs/>
                <w:sz w:val="24"/>
                <w:szCs w:val="24"/>
              </w:rPr>
              <w:t>Inclusion</w:t>
            </w:r>
          </w:p>
        </w:tc>
        <w:tc>
          <w:tcPr>
            <w:tcW w:w="4015" w:type="dxa"/>
            <w:tcBorders>
              <w:top w:val="single" w:sz="4" w:space="0" w:color="000000"/>
              <w:left w:val="single" w:sz="4" w:space="0" w:color="000000"/>
              <w:bottom w:val="single" w:sz="4" w:space="0" w:color="000000"/>
              <w:right w:val="single" w:sz="4" w:space="0" w:color="000000"/>
            </w:tcBorders>
          </w:tcPr>
          <w:p w14:paraId="3BB94ECB"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iCs w:val="0"/>
                <w:sz w:val="24"/>
                <w:szCs w:val="24"/>
                <w:lang w:val="en-GB"/>
              </w:rPr>
              <w:t>How accessible and responsive was the programme for children with disabilities, pregnant/breastfeeding women, displaced households, hard-to-reach communities and other marginalised groups? What reasonable adaptations were made and what inclusion gaps remain?</w:t>
            </w:r>
          </w:p>
        </w:tc>
        <w:tc>
          <w:tcPr>
            <w:tcW w:w="753" w:type="dxa"/>
            <w:tcBorders>
              <w:top w:val="single" w:sz="4" w:space="0" w:color="000000"/>
              <w:left w:val="single" w:sz="4" w:space="0" w:color="000000"/>
              <w:bottom w:val="single" w:sz="4" w:space="0" w:color="000000"/>
              <w:right w:val="single" w:sz="4" w:space="0" w:color="000000"/>
            </w:tcBorders>
          </w:tcPr>
          <w:p w14:paraId="4F10A3D4"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612" w:type="dxa"/>
            <w:tcBorders>
              <w:top w:val="single" w:sz="4" w:space="0" w:color="000000"/>
              <w:left w:val="single" w:sz="4" w:space="0" w:color="000000"/>
              <w:bottom w:val="single" w:sz="4" w:space="0" w:color="000000"/>
              <w:right w:val="single" w:sz="4" w:space="0" w:color="000000"/>
            </w:tcBorders>
          </w:tcPr>
          <w:p w14:paraId="4C69CCF0"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11E7F3A0"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0A79EBD6"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025938C1" w14:textId="77777777" w:rsidR="00DF2CA8" w:rsidRDefault="00DF2CA8">
            <w:pPr>
              <w:jc w:val="center"/>
              <w:rPr>
                <w:rFonts w:ascii="Lato" w:hAnsi="Lato" w:cstheme="minorHAnsi"/>
                <w:b/>
                <w:bCs/>
                <w:color w:val="0070C0"/>
                <w:sz w:val="24"/>
                <w:szCs w:val="24"/>
              </w:rPr>
            </w:pPr>
          </w:p>
        </w:tc>
      </w:tr>
      <w:tr w:rsidR="00DF2CA8" w14:paraId="6CB46DA5" w14:textId="77777777">
        <w:tc>
          <w:tcPr>
            <w:tcW w:w="1977" w:type="dxa"/>
            <w:tcBorders>
              <w:top w:val="single" w:sz="4" w:space="0" w:color="000000"/>
              <w:left w:val="single" w:sz="4" w:space="0" w:color="000000"/>
              <w:bottom w:val="single" w:sz="4" w:space="0" w:color="000000"/>
              <w:right w:val="single" w:sz="4" w:space="0" w:color="000000"/>
            </w:tcBorders>
          </w:tcPr>
          <w:p w14:paraId="22B4AAE4" w14:textId="77777777" w:rsidR="00DF2CA8" w:rsidRDefault="00572503">
            <w:pPr>
              <w:spacing w:after="0"/>
              <w:rPr>
                <w:rFonts w:ascii="Lato" w:hAnsi="Lato"/>
                <w:iCs/>
                <w:color w:val="0070C0"/>
                <w:sz w:val="24"/>
                <w:szCs w:val="24"/>
              </w:rPr>
            </w:pPr>
            <w:r>
              <w:rPr>
                <w:rFonts w:ascii="Lato" w:hAnsi="Lato"/>
                <w:iCs/>
                <w:sz w:val="24"/>
                <w:szCs w:val="24"/>
              </w:rPr>
              <w:lastRenderedPageBreak/>
              <w:t>Process</w:t>
            </w:r>
          </w:p>
        </w:tc>
        <w:tc>
          <w:tcPr>
            <w:tcW w:w="4015" w:type="dxa"/>
            <w:tcBorders>
              <w:top w:val="single" w:sz="4" w:space="0" w:color="000000"/>
              <w:left w:val="single" w:sz="4" w:space="0" w:color="000000"/>
              <w:bottom w:val="single" w:sz="4" w:space="0" w:color="000000"/>
              <w:right w:val="single" w:sz="4" w:space="0" w:color="000000"/>
            </w:tcBorders>
          </w:tcPr>
          <w:p w14:paraId="080C9F42"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How effectively did Save the Children, partner staff, community nutrition volunteers and health/nutrition authorities work together? Did training and supportive supervision translate into improved provider knowledge, competency, adherence to eligibility/screening/counselling/referral procedures and data quality? How effective were referral communication and corrective-action processes, and what should be strengthened?</w:t>
            </w:r>
          </w:p>
        </w:tc>
        <w:tc>
          <w:tcPr>
            <w:tcW w:w="753" w:type="dxa"/>
            <w:tcBorders>
              <w:top w:val="single" w:sz="4" w:space="0" w:color="000000"/>
              <w:left w:val="single" w:sz="4" w:space="0" w:color="000000"/>
              <w:bottom w:val="single" w:sz="4" w:space="0" w:color="000000"/>
              <w:right w:val="single" w:sz="4" w:space="0" w:color="000000"/>
            </w:tcBorders>
          </w:tcPr>
          <w:p w14:paraId="674663D1"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127035A6"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75C6EA48"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6B16C936"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6431FC99" w14:textId="77777777" w:rsidR="00DF2CA8" w:rsidRDefault="00DF2CA8">
            <w:pPr>
              <w:jc w:val="center"/>
              <w:rPr>
                <w:rFonts w:ascii="Lato" w:hAnsi="Lato" w:cstheme="minorHAnsi"/>
                <w:b/>
                <w:bCs/>
                <w:color w:val="0070C0"/>
                <w:sz w:val="24"/>
                <w:szCs w:val="24"/>
              </w:rPr>
            </w:pPr>
          </w:p>
        </w:tc>
      </w:tr>
      <w:tr w:rsidR="00DF2CA8" w14:paraId="62A63753" w14:textId="77777777">
        <w:tc>
          <w:tcPr>
            <w:tcW w:w="1977" w:type="dxa"/>
            <w:tcBorders>
              <w:top w:val="single" w:sz="4" w:space="0" w:color="000000"/>
              <w:left w:val="single" w:sz="4" w:space="0" w:color="000000"/>
              <w:bottom w:val="single" w:sz="4" w:space="0" w:color="000000"/>
              <w:right w:val="single" w:sz="4" w:space="0" w:color="000000"/>
            </w:tcBorders>
          </w:tcPr>
          <w:p w14:paraId="60DF3AA4" w14:textId="77777777" w:rsidR="00DF2CA8" w:rsidRDefault="00572503">
            <w:pPr>
              <w:spacing w:after="0"/>
              <w:rPr>
                <w:rFonts w:ascii="Lato" w:hAnsi="Lato"/>
                <w:iCs/>
                <w:color w:val="0070C0"/>
                <w:sz w:val="24"/>
                <w:szCs w:val="24"/>
              </w:rPr>
            </w:pPr>
            <w:r>
              <w:rPr>
                <w:rFonts w:ascii="Lato" w:hAnsi="Lato"/>
                <w:iCs/>
                <w:sz w:val="24"/>
                <w:szCs w:val="24"/>
              </w:rPr>
              <w:t>Reach and uptake</w:t>
            </w:r>
          </w:p>
        </w:tc>
        <w:tc>
          <w:tcPr>
            <w:tcW w:w="4015" w:type="dxa"/>
            <w:tcBorders>
              <w:top w:val="single" w:sz="4" w:space="0" w:color="000000"/>
              <w:left w:val="single" w:sz="4" w:space="0" w:color="000000"/>
              <w:bottom w:val="single" w:sz="4" w:space="0" w:color="000000"/>
              <w:right w:val="single" w:sz="4" w:space="0" w:color="000000"/>
            </w:tcBorders>
          </w:tcPr>
          <w:p w14:paraId="6ED98E66"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What proportion of eligible participants were reached, enrolled and exposed to the intended package, and what proportion completed expected distributions/counselling and referrals? What explains non-enrolment, missed cycles, attrition, referral non-completion or differential uptake?</w:t>
            </w:r>
          </w:p>
        </w:tc>
        <w:tc>
          <w:tcPr>
            <w:tcW w:w="753" w:type="dxa"/>
            <w:tcBorders>
              <w:top w:val="single" w:sz="4" w:space="0" w:color="000000"/>
              <w:left w:val="single" w:sz="4" w:space="0" w:color="000000"/>
              <w:bottom w:val="single" w:sz="4" w:space="0" w:color="000000"/>
              <w:right w:val="single" w:sz="4" w:space="0" w:color="000000"/>
            </w:tcBorders>
          </w:tcPr>
          <w:p w14:paraId="2B38E3AE" w14:textId="77777777" w:rsidR="00DF2CA8" w:rsidRDefault="00DF2CA8">
            <w:pPr>
              <w:jc w:val="center"/>
              <w:rPr>
                <w:rFonts w:ascii="Lato" w:hAnsi="Lato"/>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4083512B" w14:textId="77777777" w:rsidR="00DF2CA8" w:rsidRDefault="00572503">
            <w:pPr>
              <w:jc w:val="center"/>
              <w:rPr>
                <w:rFonts w:ascii="Lato" w:hAnsi="Lato"/>
                <w:b/>
                <w:bCs/>
                <w:color w:val="0070C0"/>
                <w:sz w:val="24"/>
                <w:szCs w:val="24"/>
              </w:rPr>
            </w:pPr>
            <w:r>
              <w:rPr>
                <w:rFonts w:ascii="Lato" w:hAnsi="Lato"/>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08CDB8FD"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573E77A2"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128064C3" w14:textId="77777777" w:rsidR="00DF2CA8" w:rsidRDefault="00DF2CA8">
            <w:pPr>
              <w:jc w:val="center"/>
              <w:rPr>
                <w:rFonts w:ascii="Lato" w:hAnsi="Lato"/>
                <w:b/>
                <w:bCs/>
                <w:color w:val="0070C0"/>
                <w:sz w:val="24"/>
                <w:szCs w:val="24"/>
              </w:rPr>
            </w:pPr>
          </w:p>
        </w:tc>
      </w:tr>
      <w:tr w:rsidR="00DF2CA8" w14:paraId="7E7AD79F" w14:textId="77777777">
        <w:tc>
          <w:tcPr>
            <w:tcW w:w="1977" w:type="dxa"/>
            <w:tcBorders>
              <w:top w:val="single" w:sz="4" w:space="0" w:color="000000"/>
              <w:left w:val="single" w:sz="4" w:space="0" w:color="000000"/>
              <w:bottom w:val="single" w:sz="4" w:space="0" w:color="000000"/>
              <w:right w:val="single" w:sz="4" w:space="0" w:color="000000"/>
            </w:tcBorders>
          </w:tcPr>
          <w:p w14:paraId="1DA5449F" w14:textId="77777777" w:rsidR="00DF2CA8" w:rsidRDefault="00572503">
            <w:pPr>
              <w:spacing w:after="0"/>
              <w:rPr>
                <w:rFonts w:ascii="Lato" w:hAnsi="Lato"/>
                <w:color w:val="0070C0"/>
                <w:sz w:val="24"/>
                <w:szCs w:val="24"/>
              </w:rPr>
            </w:pPr>
            <w:r>
              <w:rPr>
                <w:rFonts w:ascii="Lato" w:hAnsi="Lato"/>
                <w:b/>
                <w:bCs/>
                <w:sz w:val="24"/>
                <w:szCs w:val="24"/>
              </w:rPr>
              <w:t>Relevance*</w:t>
            </w:r>
          </w:p>
        </w:tc>
        <w:tc>
          <w:tcPr>
            <w:tcW w:w="4015" w:type="dxa"/>
            <w:tcBorders>
              <w:top w:val="single" w:sz="4" w:space="0" w:color="000000"/>
              <w:left w:val="single" w:sz="4" w:space="0" w:color="000000"/>
              <w:bottom w:val="single" w:sz="4" w:space="0" w:color="000000"/>
              <w:right w:val="single" w:sz="4" w:space="0" w:color="000000"/>
            </w:tcBorders>
          </w:tcPr>
          <w:p w14:paraId="68463697"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 xml:space="preserve">Did </w:t>
            </w:r>
            <w:proofErr w:type="spellStart"/>
            <w:r>
              <w:rPr>
                <w:rFonts w:ascii="Lato" w:hAnsi="Lato"/>
                <w:i w:val="0"/>
                <w:iCs w:val="0"/>
                <w:sz w:val="24"/>
                <w:szCs w:val="24"/>
                <w:lang w:val="en-GB"/>
              </w:rPr>
              <w:t>Assida</w:t>
            </w:r>
            <w:proofErr w:type="spellEnd"/>
            <w:r>
              <w:rPr>
                <w:rFonts w:ascii="Lato" w:hAnsi="Lato"/>
                <w:i w:val="0"/>
                <w:iCs w:val="0"/>
                <w:sz w:val="24"/>
                <w:szCs w:val="24"/>
                <w:lang w:val="en-GB"/>
              </w:rPr>
              <w:t xml:space="preserve"> Plus remain relevant to changing nutrition and food-access needs in Tawila? What were the most significant behavioural, household, access, security, service, supply and resilience-related factors limiting preventive nutrition in hard-to-reach areas, and how were these associated with service interruptions, malnutrition patterns, breastfeeding/feeding practices, </w:t>
            </w:r>
            <w:r>
              <w:rPr>
                <w:rFonts w:ascii="Lato" w:hAnsi="Lato"/>
                <w:i w:val="0"/>
                <w:iCs w:val="0"/>
                <w:sz w:val="24"/>
                <w:szCs w:val="24"/>
                <w:lang w:val="en-GB"/>
              </w:rPr>
              <w:lastRenderedPageBreak/>
              <w:t>food access/coping and other available resilience indicators? How was implementation adapted when needs and service availability changed?</w:t>
            </w:r>
          </w:p>
        </w:tc>
        <w:tc>
          <w:tcPr>
            <w:tcW w:w="753" w:type="dxa"/>
            <w:tcBorders>
              <w:top w:val="single" w:sz="4" w:space="0" w:color="000000"/>
              <w:left w:val="single" w:sz="4" w:space="0" w:color="000000"/>
              <w:bottom w:val="single" w:sz="4" w:space="0" w:color="000000"/>
              <w:right w:val="single" w:sz="4" w:space="0" w:color="000000"/>
            </w:tcBorders>
          </w:tcPr>
          <w:p w14:paraId="68A92CD9" w14:textId="77777777" w:rsidR="00DF2CA8" w:rsidRDefault="00572503">
            <w:pPr>
              <w:jc w:val="center"/>
              <w:rPr>
                <w:rFonts w:ascii="Lato" w:hAnsi="Lato"/>
                <w:b/>
                <w:bCs/>
                <w:color w:val="0070C0"/>
                <w:sz w:val="24"/>
                <w:szCs w:val="24"/>
              </w:rPr>
            </w:pPr>
            <w:r>
              <w:rPr>
                <w:rFonts w:ascii="Lato" w:hAnsi="Lato"/>
                <w:b/>
                <w:bCs/>
                <w:sz w:val="24"/>
                <w:szCs w:val="24"/>
              </w:rPr>
              <w:lastRenderedPageBreak/>
              <w:t>X</w:t>
            </w:r>
          </w:p>
        </w:tc>
        <w:tc>
          <w:tcPr>
            <w:tcW w:w="612" w:type="dxa"/>
            <w:tcBorders>
              <w:top w:val="single" w:sz="4" w:space="0" w:color="000000"/>
              <w:left w:val="single" w:sz="4" w:space="0" w:color="000000"/>
              <w:bottom w:val="single" w:sz="4" w:space="0" w:color="000000"/>
              <w:right w:val="single" w:sz="4" w:space="0" w:color="000000"/>
            </w:tcBorders>
          </w:tcPr>
          <w:p w14:paraId="3D2A738C" w14:textId="77777777" w:rsidR="00DF2CA8" w:rsidRDefault="00572503">
            <w:pPr>
              <w:jc w:val="center"/>
              <w:rPr>
                <w:rFonts w:ascii="Lato" w:hAnsi="Lato"/>
                <w:b/>
                <w:bCs/>
                <w:color w:val="0070C0"/>
                <w:sz w:val="24"/>
                <w:szCs w:val="24"/>
              </w:rPr>
            </w:pPr>
            <w:r>
              <w:rPr>
                <w:rFonts w:ascii="Lato" w:hAnsi="Lato"/>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209F9F39"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26AC0D9F" w14:textId="77777777" w:rsidR="00DF2CA8" w:rsidRDefault="00572503">
            <w:pPr>
              <w:jc w:val="center"/>
              <w:rPr>
                <w:rFonts w:ascii="Lato" w:hAnsi="Lato"/>
                <w:b/>
                <w:bCs/>
                <w:color w:val="0070C0"/>
                <w:sz w:val="24"/>
                <w:szCs w:val="24"/>
              </w:rPr>
            </w:pPr>
            <w:r>
              <w:rPr>
                <w:rFonts w:ascii="Lato" w:hAnsi="Lato"/>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31936447" w14:textId="77777777" w:rsidR="00DF2CA8" w:rsidRDefault="00DF2CA8">
            <w:pPr>
              <w:jc w:val="center"/>
              <w:rPr>
                <w:rFonts w:ascii="Lato" w:hAnsi="Lato"/>
                <w:b/>
                <w:bCs/>
                <w:color w:val="0070C0"/>
                <w:sz w:val="24"/>
                <w:szCs w:val="24"/>
              </w:rPr>
            </w:pPr>
          </w:p>
        </w:tc>
      </w:tr>
      <w:tr w:rsidR="00DF2CA8" w14:paraId="2CAF7B51" w14:textId="77777777">
        <w:tc>
          <w:tcPr>
            <w:tcW w:w="1977" w:type="dxa"/>
            <w:tcBorders>
              <w:top w:val="single" w:sz="4" w:space="0" w:color="000000"/>
              <w:left w:val="single" w:sz="4" w:space="0" w:color="000000"/>
              <w:bottom w:val="single" w:sz="4" w:space="0" w:color="000000"/>
              <w:right w:val="single" w:sz="4" w:space="0" w:color="000000"/>
            </w:tcBorders>
          </w:tcPr>
          <w:p w14:paraId="49AEFB2D" w14:textId="77777777" w:rsidR="00DF2CA8" w:rsidRDefault="00572503">
            <w:pPr>
              <w:spacing w:after="0"/>
              <w:rPr>
                <w:rFonts w:ascii="Lato" w:hAnsi="Lato"/>
                <w:iCs/>
                <w:color w:val="0070C0"/>
                <w:sz w:val="24"/>
                <w:szCs w:val="24"/>
              </w:rPr>
            </w:pPr>
            <w:r>
              <w:rPr>
                <w:rFonts w:ascii="Lato" w:hAnsi="Lato"/>
                <w:iCs/>
                <w:sz w:val="24"/>
                <w:szCs w:val="24"/>
              </w:rPr>
              <w:t>Replicability and scale</w:t>
            </w:r>
          </w:p>
        </w:tc>
        <w:tc>
          <w:tcPr>
            <w:tcW w:w="4015" w:type="dxa"/>
            <w:tcBorders>
              <w:top w:val="single" w:sz="4" w:space="0" w:color="000000"/>
              <w:left w:val="single" w:sz="4" w:space="0" w:color="000000"/>
              <w:bottom w:val="single" w:sz="4" w:space="0" w:color="000000"/>
              <w:right w:val="single" w:sz="4" w:space="0" w:color="000000"/>
            </w:tcBorders>
          </w:tcPr>
          <w:p w14:paraId="58E6D679"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 xml:space="preserve">Which programme components, delivery standards, workforce capacities, supply arrangements, data systems and contextual conditions appear necessary for </w:t>
            </w:r>
            <w:proofErr w:type="spellStart"/>
            <w:r>
              <w:rPr>
                <w:rFonts w:ascii="Lato" w:hAnsi="Lato"/>
                <w:i w:val="0"/>
                <w:sz w:val="24"/>
                <w:szCs w:val="24"/>
                <w:lang w:val="en-GB"/>
              </w:rPr>
              <w:t>Assida</w:t>
            </w:r>
            <w:proofErr w:type="spellEnd"/>
            <w:r>
              <w:rPr>
                <w:rFonts w:ascii="Lato" w:hAnsi="Lato"/>
                <w:i w:val="0"/>
                <w:sz w:val="24"/>
                <w:szCs w:val="24"/>
                <w:lang w:val="en-GB"/>
              </w:rPr>
              <w:t xml:space="preserve"> Plus to be implemented reliably at greater scale? Where local production/preparation units were used or piloted, how effective and sustainable were they in supporting nutrition delivery, what quality-assurance and regulatory requirements applied, what facilities/populations could they supply, and what operational, workforce and cost constraints would need to be addressed before replication?</w:t>
            </w:r>
          </w:p>
        </w:tc>
        <w:tc>
          <w:tcPr>
            <w:tcW w:w="753" w:type="dxa"/>
            <w:tcBorders>
              <w:top w:val="single" w:sz="4" w:space="0" w:color="000000"/>
              <w:left w:val="single" w:sz="4" w:space="0" w:color="000000"/>
              <w:bottom w:val="single" w:sz="4" w:space="0" w:color="000000"/>
              <w:right w:val="single" w:sz="4" w:space="0" w:color="000000"/>
            </w:tcBorders>
          </w:tcPr>
          <w:p w14:paraId="2ABEB3BA"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7101C341"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6BAC88E6"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550CDC29"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6966ED6E"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r>
      <w:tr w:rsidR="00DF2CA8" w14:paraId="3901BD7B" w14:textId="77777777">
        <w:tc>
          <w:tcPr>
            <w:tcW w:w="1977" w:type="dxa"/>
            <w:tcBorders>
              <w:top w:val="single" w:sz="4" w:space="0" w:color="000000"/>
              <w:left w:val="single" w:sz="4" w:space="0" w:color="000000"/>
              <w:bottom w:val="single" w:sz="4" w:space="0" w:color="000000"/>
              <w:right w:val="single" w:sz="4" w:space="0" w:color="000000"/>
            </w:tcBorders>
          </w:tcPr>
          <w:p w14:paraId="631A8A8C" w14:textId="77777777" w:rsidR="00DF2CA8" w:rsidRDefault="00572503">
            <w:pPr>
              <w:spacing w:after="0"/>
              <w:rPr>
                <w:rFonts w:ascii="Lato" w:hAnsi="Lato"/>
                <w:iCs/>
                <w:color w:val="0070C0"/>
                <w:sz w:val="24"/>
                <w:szCs w:val="24"/>
              </w:rPr>
            </w:pPr>
            <w:r>
              <w:rPr>
                <w:rFonts w:ascii="Lato" w:hAnsi="Lato"/>
                <w:iCs/>
                <w:sz w:val="24"/>
                <w:szCs w:val="24"/>
              </w:rPr>
              <w:t>Satisfaction and experience</w:t>
            </w:r>
          </w:p>
        </w:tc>
        <w:tc>
          <w:tcPr>
            <w:tcW w:w="4015" w:type="dxa"/>
            <w:tcBorders>
              <w:top w:val="single" w:sz="4" w:space="0" w:color="000000"/>
              <w:left w:val="single" w:sz="4" w:space="0" w:color="000000"/>
              <w:bottom w:val="single" w:sz="4" w:space="0" w:color="000000"/>
              <w:right w:val="single" w:sz="4" w:space="0" w:color="000000"/>
            </w:tcBorders>
          </w:tcPr>
          <w:p w14:paraId="0C41F893"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How satisfied were participants and service providers with the food ration, preparation requirements, counselling/SBC, screening, referral and service experience? Which aspects were perceived as useful, burdensome, difficult, culturally inappropriate or in need of improvement?</w:t>
            </w:r>
          </w:p>
        </w:tc>
        <w:tc>
          <w:tcPr>
            <w:tcW w:w="753" w:type="dxa"/>
            <w:tcBorders>
              <w:top w:val="single" w:sz="4" w:space="0" w:color="000000"/>
              <w:left w:val="single" w:sz="4" w:space="0" w:color="000000"/>
              <w:bottom w:val="single" w:sz="4" w:space="0" w:color="000000"/>
              <w:right w:val="single" w:sz="4" w:space="0" w:color="000000"/>
            </w:tcBorders>
          </w:tcPr>
          <w:p w14:paraId="59E9DF77"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7C2EBDAE"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282FBA2B"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4A05C422" w14:textId="77777777" w:rsidR="00DF2CA8" w:rsidRDefault="00DF2CA8">
            <w:pPr>
              <w:jc w:val="center"/>
              <w:rPr>
                <w:rFonts w:ascii="Lato" w:hAnsi="Lato" w:cstheme="minorHAnsi"/>
                <w:b/>
                <w:bCs/>
                <w:color w:val="0070C0"/>
                <w:sz w:val="24"/>
                <w:szCs w:val="24"/>
              </w:rPr>
            </w:pPr>
          </w:p>
        </w:tc>
        <w:tc>
          <w:tcPr>
            <w:tcW w:w="547" w:type="dxa"/>
            <w:tcBorders>
              <w:top w:val="single" w:sz="4" w:space="0" w:color="000000"/>
              <w:left w:val="single" w:sz="4" w:space="0" w:color="000000"/>
              <w:bottom w:val="single" w:sz="4" w:space="0" w:color="000000"/>
              <w:right w:val="single" w:sz="4" w:space="0" w:color="000000"/>
            </w:tcBorders>
          </w:tcPr>
          <w:p w14:paraId="5A423540" w14:textId="77777777" w:rsidR="00DF2CA8" w:rsidRDefault="00DF2CA8">
            <w:pPr>
              <w:jc w:val="center"/>
              <w:rPr>
                <w:rFonts w:ascii="Lato" w:hAnsi="Lato" w:cstheme="minorHAnsi"/>
                <w:b/>
                <w:bCs/>
                <w:color w:val="0070C0"/>
                <w:sz w:val="24"/>
                <w:szCs w:val="24"/>
              </w:rPr>
            </w:pPr>
          </w:p>
        </w:tc>
      </w:tr>
      <w:tr w:rsidR="00DF2CA8" w14:paraId="60869E28" w14:textId="77777777">
        <w:tc>
          <w:tcPr>
            <w:tcW w:w="1977" w:type="dxa"/>
            <w:tcBorders>
              <w:top w:val="single" w:sz="4" w:space="0" w:color="000000"/>
              <w:left w:val="single" w:sz="4" w:space="0" w:color="000000"/>
              <w:bottom w:val="single" w:sz="4" w:space="0" w:color="000000"/>
              <w:right w:val="single" w:sz="4" w:space="0" w:color="000000"/>
            </w:tcBorders>
          </w:tcPr>
          <w:p w14:paraId="12CEDA5F" w14:textId="77777777" w:rsidR="00DF2CA8" w:rsidRDefault="00572503">
            <w:pPr>
              <w:spacing w:after="0"/>
              <w:rPr>
                <w:rFonts w:ascii="Lato" w:hAnsi="Lato"/>
                <w:iCs/>
                <w:color w:val="0070C0"/>
                <w:sz w:val="24"/>
                <w:szCs w:val="24"/>
              </w:rPr>
            </w:pPr>
            <w:r>
              <w:rPr>
                <w:rFonts w:ascii="Lato" w:hAnsi="Lato"/>
                <w:b/>
                <w:bCs/>
                <w:sz w:val="24"/>
                <w:szCs w:val="24"/>
              </w:rPr>
              <w:t>Sustainability*</w:t>
            </w:r>
          </w:p>
        </w:tc>
        <w:tc>
          <w:tcPr>
            <w:tcW w:w="4015" w:type="dxa"/>
            <w:tcBorders>
              <w:top w:val="single" w:sz="4" w:space="0" w:color="000000"/>
              <w:left w:val="single" w:sz="4" w:space="0" w:color="000000"/>
              <w:bottom w:val="single" w:sz="4" w:space="0" w:color="000000"/>
              <w:right w:val="single" w:sz="4" w:space="0" w:color="000000"/>
            </w:tcBorders>
          </w:tcPr>
          <w:p w14:paraId="249C3B51" w14:textId="77777777" w:rsidR="00DF2CA8" w:rsidRDefault="00572503">
            <w:pPr>
              <w:pStyle w:val="ListParagraph"/>
              <w:numPr>
                <w:ilvl w:val="0"/>
                <w:numId w:val="7"/>
              </w:numPr>
              <w:rPr>
                <w:rFonts w:ascii="Lato" w:hAnsi="Lato"/>
                <w:i w:val="0"/>
                <w:iCs w:val="0"/>
                <w:color w:val="0070C0"/>
                <w:sz w:val="24"/>
                <w:szCs w:val="24"/>
                <w:lang w:val="en-GB"/>
              </w:rPr>
            </w:pPr>
            <w:r>
              <w:rPr>
                <w:rFonts w:ascii="Lato" w:hAnsi="Lato"/>
                <w:i w:val="0"/>
                <w:iCs w:val="0"/>
                <w:sz w:val="24"/>
                <w:szCs w:val="24"/>
                <w:lang w:val="en-GB"/>
              </w:rPr>
              <w:t xml:space="preserve">Which benefits, practices and service-delivery functions are likely to persist after project support, and under what </w:t>
            </w:r>
            <w:r>
              <w:rPr>
                <w:rFonts w:ascii="Lato" w:hAnsi="Lato"/>
                <w:i w:val="0"/>
                <w:iCs w:val="0"/>
                <w:sz w:val="24"/>
                <w:szCs w:val="24"/>
                <w:lang w:val="en-GB"/>
              </w:rPr>
              <w:lastRenderedPageBreak/>
              <w:t>conditions? How feasible are continued community delivery, workforce support, government integration, financing and supply continuity? Where local production/preparation was used, what evidence exists on quality assurance, staff skills, operational viability, sector/regulatory ownership and the conditions required for sustainable continuation?</w:t>
            </w:r>
          </w:p>
        </w:tc>
        <w:tc>
          <w:tcPr>
            <w:tcW w:w="753" w:type="dxa"/>
            <w:tcBorders>
              <w:top w:val="single" w:sz="4" w:space="0" w:color="000000"/>
              <w:left w:val="single" w:sz="4" w:space="0" w:color="000000"/>
              <w:bottom w:val="single" w:sz="4" w:space="0" w:color="000000"/>
              <w:right w:val="single" w:sz="4" w:space="0" w:color="000000"/>
            </w:tcBorders>
          </w:tcPr>
          <w:p w14:paraId="189C4CDF" w14:textId="77777777" w:rsidR="00DF2CA8" w:rsidRDefault="00DF2CA8">
            <w:pPr>
              <w:jc w:val="center"/>
              <w:rPr>
                <w:rFonts w:ascii="Lato" w:hAnsi="Lato" w:cstheme="minorHAnsi"/>
                <w:b/>
                <w:bCs/>
                <w:color w:val="0070C0"/>
                <w:sz w:val="24"/>
                <w:szCs w:val="24"/>
              </w:rPr>
            </w:pPr>
          </w:p>
        </w:tc>
        <w:tc>
          <w:tcPr>
            <w:tcW w:w="612" w:type="dxa"/>
            <w:tcBorders>
              <w:top w:val="single" w:sz="4" w:space="0" w:color="000000"/>
              <w:left w:val="single" w:sz="4" w:space="0" w:color="000000"/>
              <w:bottom w:val="single" w:sz="4" w:space="0" w:color="000000"/>
              <w:right w:val="single" w:sz="4" w:space="0" w:color="000000"/>
            </w:tcBorders>
          </w:tcPr>
          <w:p w14:paraId="3F3DD490" w14:textId="77777777" w:rsidR="00DF2CA8" w:rsidRDefault="00DF2CA8">
            <w:pPr>
              <w:jc w:val="center"/>
              <w:rPr>
                <w:rFonts w:ascii="Lato" w:hAnsi="Lato" w:cstheme="minorHAnsi"/>
                <w:b/>
                <w:bCs/>
                <w:color w:val="0070C0"/>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42107214"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0BF533F9"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58D78E9A" w14:textId="77777777" w:rsidR="00DF2CA8" w:rsidRDefault="00DF2CA8">
            <w:pPr>
              <w:jc w:val="center"/>
              <w:rPr>
                <w:rFonts w:ascii="Lato" w:hAnsi="Lato" w:cstheme="minorHAnsi"/>
                <w:b/>
                <w:bCs/>
                <w:color w:val="0070C0"/>
                <w:sz w:val="24"/>
                <w:szCs w:val="24"/>
              </w:rPr>
            </w:pPr>
          </w:p>
        </w:tc>
      </w:tr>
      <w:tr w:rsidR="00DF2CA8" w14:paraId="497236AB" w14:textId="77777777">
        <w:tc>
          <w:tcPr>
            <w:tcW w:w="1977" w:type="dxa"/>
            <w:tcBorders>
              <w:top w:val="single" w:sz="4" w:space="0" w:color="000000"/>
              <w:left w:val="single" w:sz="4" w:space="0" w:color="000000"/>
              <w:bottom w:val="single" w:sz="4" w:space="0" w:color="000000"/>
              <w:right w:val="single" w:sz="4" w:space="0" w:color="000000"/>
            </w:tcBorders>
          </w:tcPr>
          <w:p w14:paraId="276E5A2C" w14:textId="77777777" w:rsidR="00DF2CA8" w:rsidRDefault="00572503">
            <w:pPr>
              <w:spacing w:after="0"/>
              <w:rPr>
                <w:rFonts w:ascii="Lato" w:hAnsi="Lato"/>
                <w:iCs/>
                <w:color w:val="0070C0"/>
                <w:sz w:val="24"/>
                <w:szCs w:val="24"/>
              </w:rPr>
            </w:pPr>
            <w:r>
              <w:rPr>
                <w:rFonts w:ascii="Lato" w:hAnsi="Lato"/>
                <w:iCs/>
                <w:sz w:val="24"/>
                <w:szCs w:val="24"/>
              </w:rPr>
              <w:t>Gender sensitivity</w:t>
            </w:r>
          </w:p>
        </w:tc>
        <w:tc>
          <w:tcPr>
            <w:tcW w:w="4015" w:type="dxa"/>
            <w:tcBorders>
              <w:top w:val="single" w:sz="4" w:space="0" w:color="000000"/>
              <w:left w:val="single" w:sz="4" w:space="0" w:color="000000"/>
              <w:bottom w:val="single" w:sz="4" w:space="0" w:color="000000"/>
              <w:right w:val="single" w:sz="4" w:space="0" w:color="000000"/>
            </w:tcBorders>
          </w:tcPr>
          <w:p w14:paraId="4F860434" w14:textId="77777777" w:rsidR="00DF2CA8" w:rsidRDefault="00572503">
            <w:pPr>
              <w:pStyle w:val="ListParagraph"/>
              <w:numPr>
                <w:ilvl w:val="0"/>
                <w:numId w:val="7"/>
              </w:numPr>
              <w:rPr>
                <w:rFonts w:ascii="Lato" w:hAnsi="Lato"/>
                <w:i w:val="0"/>
                <w:color w:val="0070C0"/>
                <w:sz w:val="24"/>
                <w:szCs w:val="24"/>
                <w:lang w:val="en-GB"/>
              </w:rPr>
            </w:pPr>
            <w:r>
              <w:rPr>
                <w:rFonts w:ascii="Lato" w:hAnsi="Lato"/>
                <w:i w:val="0"/>
                <w:sz w:val="24"/>
                <w:szCs w:val="24"/>
                <w:lang w:val="en-GB"/>
              </w:rPr>
              <w:t>How did sex and gender roles influence access, participation, decision-making, caregiving workload, food allocation, service use and nutrition outcomes? Were there meaningful differences for girls and boys, women and men caregivers, and pregnant/breastfeeding women, and what gender-related barriers remain?</w:t>
            </w:r>
          </w:p>
        </w:tc>
        <w:tc>
          <w:tcPr>
            <w:tcW w:w="753" w:type="dxa"/>
            <w:tcBorders>
              <w:top w:val="single" w:sz="4" w:space="0" w:color="000000"/>
              <w:left w:val="single" w:sz="4" w:space="0" w:color="000000"/>
              <w:bottom w:val="single" w:sz="4" w:space="0" w:color="000000"/>
              <w:right w:val="single" w:sz="4" w:space="0" w:color="000000"/>
            </w:tcBorders>
          </w:tcPr>
          <w:p w14:paraId="635C1DE6"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612" w:type="dxa"/>
            <w:tcBorders>
              <w:top w:val="single" w:sz="4" w:space="0" w:color="000000"/>
              <w:left w:val="single" w:sz="4" w:space="0" w:color="000000"/>
              <w:bottom w:val="single" w:sz="4" w:space="0" w:color="000000"/>
              <w:right w:val="single" w:sz="4" w:space="0" w:color="000000"/>
            </w:tcBorders>
          </w:tcPr>
          <w:p w14:paraId="5FF3E6AE"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714" w:type="dxa"/>
            <w:tcBorders>
              <w:top w:val="single" w:sz="4" w:space="0" w:color="000000"/>
              <w:left w:val="single" w:sz="4" w:space="0" w:color="000000"/>
              <w:bottom w:val="single" w:sz="4" w:space="0" w:color="000000"/>
              <w:right w:val="single" w:sz="4" w:space="0" w:color="000000"/>
            </w:tcBorders>
          </w:tcPr>
          <w:p w14:paraId="2AE59128"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18" w:type="dxa"/>
            <w:tcBorders>
              <w:top w:val="single" w:sz="4" w:space="0" w:color="000000"/>
              <w:left w:val="single" w:sz="4" w:space="0" w:color="000000"/>
              <w:bottom w:val="single" w:sz="4" w:space="0" w:color="000000"/>
              <w:right w:val="single" w:sz="4" w:space="0" w:color="000000"/>
            </w:tcBorders>
          </w:tcPr>
          <w:p w14:paraId="43FE6D3E" w14:textId="77777777" w:rsidR="00DF2CA8" w:rsidRDefault="00572503">
            <w:pPr>
              <w:jc w:val="center"/>
              <w:rPr>
                <w:rFonts w:ascii="Lato" w:hAnsi="Lato" w:cstheme="minorHAnsi"/>
                <w:b/>
                <w:bCs/>
                <w:color w:val="0070C0"/>
                <w:sz w:val="24"/>
                <w:szCs w:val="24"/>
              </w:rPr>
            </w:pPr>
            <w:r>
              <w:rPr>
                <w:rFonts w:ascii="Lato" w:hAnsi="Lato" w:cstheme="minorHAnsi"/>
                <w:b/>
                <w:bCs/>
                <w:sz w:val="24"/>
                <w:szCs w:val="24"/>
              </w:rPr>
              <w:t>X</w:t>
            </w:r>
          </w:p>
        </w:tc>
        <w:tc>
          <w:tcPr>
            <w:tcW w:w="547" w:type="dxa"/>
            <w:tcBorders>
              <w:top w:val="single" w:sz="4" w:space="0" w:color="000000"/>
              <w:left w:val="single" w:sz="4" w:space="0" w:color="000000"/>
              <w:bottom w:val="single" w:sz="4" w:space="0" w:color="000000"/>
              <w:right w:val="single" w:sz="4" w:space="0" w:color="000000"/>
            </w:tcBorders>
          </w:tcPr>
          <w:p w14:paraId="12B1C8D4" w14:textId="77777777" w:rsidR="00DF2CA8" w:rsidRDefault="00DF2CA8">
            <w:pPr>
              <w:jc w:val="center"/>
              <w:rPr>
                <w:rFonts w:ascii="Lato" w:hAnsi="Lato" w:cstheme="minorHAnsi"/>
                <w:b/>
                <w:bCs/>
                <w:color w:val="0070C0"/>
                <w:sz w:val="24"/>
                <w:szCs w:val="24"/>
              </w:rPr>
            </w:pPr>
          </w:p>
        </w:tc>
      </w:tr>
    </w:tbl>
    <w:p w14:paraId="3DA82D2A" w14:textId="77777777" w:rsidR="00DF2CA8" w:rsidRDefault="00572503">
      <w:pPr>
        <w:rPr>
          <w:rFonts w:ascii="Lato" w:hAnsi="Lato" w:cstheme="minorHAnsi"/>
          <w:color w:val="0070C0"/>
          <w:sz w:val="24"/>
          <w:szCs w:val="24"/>
        </w:rPr>
      </w:pPr>
      <w:r>
        <w:rPr>
          <w:rFonts w:ascii="Lato" w:hAnsi="Lato"/>
          <w:sz w:val="24"/>
          <w:szCs w:val="24"/>
        </w:rPr>
        <w:t>*OECD DAC Criteria</w:t>
      </w:r>
    </w:p>
    <w:p w14:paraId="77D98570" w14:textId="77777777" w:rsidR="00DF2CA8" w:rsidRDefault="00572503">
      <w:pPr>
        <w:pStyle w:val="Heading1"/>
        <w:rPr>
          <w:rFonts w:ascii="Lato" w:hAnsi="Lato"/>
          <w:sz w:val="24"/>
          <w:szCs w:val="24"/>
        </w:rPr>
      </w:pPr>
      <w:bookmarkStart w:id="7" w:name="_Toc61945688"/>
      <w:r>
        <w:rPr>
          <w:rFonts w:ascii="Lato" w:hAnsi="Lato"/>
          <w:sz w:val="24"/>
          <w:szCs w:val="24"/>
        </w:rPr>
        <w:t>Study Methodology</w:t>
      </w:r>
      <w:bookmarkEnd w:id="7"/>
    </w:p>
    <w:p w14:paraId="6EE10A14" w14:textId="77777777" w:rsidR="00DF2CA8" w:rsidRDefault="00572503">
      <w:pPr>
        <w:pStyle w:val="Heading2"/>
        <w:rPr>
          <w:rFonts w:ascii="Lato" w:hAnsi="Lato"/>
          <w:sz w:val="24"/>
          <w:szCs w:val="24"/>
        </w:rPr>
      </w:pPr>
      <w:bookmarkStart w:id="8" w:name="_Toc61945689"/>
      <w:r>
        <w:rPr>
          <w:rFonts w:ascii="Lato" w:hAnsi="Lato"/>
          <w:sz w:val="24"/>
          <w:szCs w:val="24"/>
        </w:rPr>
        <w:t>Study Design</w:t>
      </w:r>
      <w:bookmarkEnd w:id="8"/>
    </w:p>
    <w:p w14:paraId="4A4C8CCA" w14:textId="77777777" w:rsidR="00DF2CA8" w:rsidRDefault="00572503">
      <w:pPr>
        <w:jc w:val="both"/>
        <w:rPr>
          <w:rFonts w:ascii="Lato" w:hAnsi="Lato"/>
          <w:color w:val="0070C0"/>
          <w:sz w:val="24"/>
          <w:szCs w:val="24"/>
        </w:rPr>
      </w:pPr>
      <w:r>
        <w:rPr>
          <w:rFonts w:ascii="Lato" w:hAnsi="Lato"/>
          <w:sz w:val="24"/>
          <w:szCs w:val="24"/>
        </w:rPr>
        <w:t>The study will use a convergent mixed-methods, non-experimental end-line design with an embedded retrospective longitudinal cohort based primarily on participant/patient cards and linked programme records. Quantitative record analysis, targeted caregiver data, qualitative inquiry, implementation evidence and costing will be analysed separately and then integrated through a pre-specified triangulation framework. A matched comparison component may be added only if the inception feasibility assessment identifies an adequately comparable, non-contaminated population and sufficient covariate information to support defensible adjustment.</w:t>
      </w:r>
    </w:p>
    <w:p w14:paraId="75C1EE08" w14:textId="77777777" w:rsidR="00DF2CA8" w:rsidRDefault="00572503">
      <w:pPr>
        <w:jc w:val="both"/>
        <w:rPr>
          <w:rFonts w:ascii="Lato" w:hAnsi="Lato"/>
          <w:sz w:val="24"/>
          <w:szCs w:val="24"/>
        </w:rPr>
      </w:pPr>
      <w:r>
        <w:rPr>
          <w:rFonts w:ascii="Lato" w:hAnsi="Lato"/>
          <w:sz w:val="24"/>
          <w:szCs w:val="24"/>
        </w:rPr>
        <w:t>It is expected that this study will involve:</w:t>
      </w:r>
    </w:p>
    <w:p w14:paraId="2BD5A224" w14:textId="77777777" w:rsidR="00DF2CA8" w:rsidRDefault="00572503">
      <w:pPr>
        <w:pStyle w:val="ListParagraph"/>
        <w:numPr>
          <w:ilvl w:val="0"/>
          <w:numId w:val="9"/>
        </w:numPr>
        <w:jc w:val="both"/>
        <w:rPr>
          <w:rFonts w:ascii="Lato" w:hAnsi="Lato"/>
          <w:i w:val="0"/>
          <w:iCs w:val="0"/>
          <w:sz w:val="24"/>
          <w:szCs w:val="24"/>
          <w:lang w:val="es-AR"/>
        </w:rPr>
      </w:pPr>
      <w:r>
        <w:rPr>
          <w:rFonts w:ascii="Lato" w:hAnsi="Lato"/>
          <w:i w:val="0"/>
          <w:iCs w:val="0"/>
          <w:sz w:val="24"/>
          <w:szCs w:val="24"/>
          <w:lang w:val="es-AR"/>
        </w:rPr>
        <w:t xml:space="preserve">A non-experimental </w:t>
      </w:r>
      <w:proofErr w:type="spellStart"/>
      <w:r>
        <w:rPr>
          <w:rFonts w:ascii="Lato" w:hAnsi="Lato"/>
          <w:i w:val="0"/>
          <w:iCs w:val="0"/>
          <w:sz w:val="24"/>
          <w:szCs w:val="24"/>
          <w:lang w:val="es-AR"/>
        </w:rPr>
        <w:t>end</w:t>
      </w:r>
      <w:proofErr w:type="spellEnd"/>
      <w:r>
        <w:rPr>
          <w:rFonts w:ascii="Lato" w:hAnsi="Lato"/>
          <w:i w:val="0"/>
          <w:iCs w:val="0"/>
          <w:sz w:val="24"/>
          <w:szCs w:val="24"/>
          <w:lang w:val="es-AR"/>
        </w:rPr>
        <w:t xml:space="preserve">-line </w:t>
      </w:r>
      <w:proofErr w:type="spellStart"/>
      <w:r>
        <w:rPr>
          <w:rFonts w:ascii="Lato" w:hAnsi="Lato"/>
          <w:i w:val="0"/>
          <w:iCs w:val="0"/>
          <w:sz w:val="24"/>
          <w:szCs w:val="24"/>
          <w:lang w:val="es-AR"/>
        </w:rPr>
        <w:t>design</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with</w:t>
      </w:r>
      <w:proofErr w:type="spellEnd"/>
      <w:r>
        <w:rPr>
          <w:rFonts w:ascii="Lato" w:hAnsi="Lato"/>
          <w:i w:val="0"/>
          <w:iCs w:val="0"/>
          <w:sz w:val="24"/>
          <w:szCs w:val="24"/>
          <w:lang w:val="es-AR"/>
        </w:rPr>
        <w:t xml:space="preserve"> retrospective longitudinal </w:t>
      </w:r>
      <w:proofErr w:type="spellStart"/>
      <w:r>
        <w:rPr>
          <w:rFonts w:ascii="Lato" w:hAnsi="Lato"/>
          <w:i w:val="0"/>
          <w:iCs w:val="0"/>
          <w:sz w:val="24"/>
          <w:szCs w:val="24"/>
          <w:lang w:val="es-AR"/>
        </w:rPr>
        <w:t>analysis</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of</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participant</w:t>
      </w:r>
      <w:proofErr w:type="spellEnd"/>
      <w:r>
        <w:rPr>
          <w:rFonts w:ascii="Lato" w:hAnsi="Lato"/>
          <w:i w:val="0"/>
          <w:iCs w:val="0"/>
          <w:sz w:val="24"/>
          <w:szCs w:val="24"/>
          <w:lang w:val="es-AR"/>
        </w:rPr>
        <w:t>/</w:t>
      </w:r>
      <w:proofErr w:type="spellStart"/>
      <w:r>
        <w:rPr>
          <w:rFonts w:ascii="Lato" w:hAnsi="Lato"/>
          <w:i w:val="0"/>
          <w:iCs w:val="0"/>
          <w:sz w:val="24"/>
          <w:szCs w:val="24"/>
          <w:lang w:val="es-AR"/>
        </w:rPr>
        <w:t>patient</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cards</w:t>
      </w:r>
      <w:proofErr w:type="spellEnd"/>
      <w:r>
        <w:rPr>
          <w:rFonts w:ascii="Lato" w:hAnsi="Lato"/>
          <w:i w:val="0"/>
          <w:iCs w:val="0"/>
          <w:sz w:val="24"/>
          <w:szCs w:val="24"/>
          <w:lang w:val="es-AR"/>
        </w:rPr>
        <w:t xml:space="preserve"> and </w:t>
      </w:r>
      <w:proofErr w:type="spellStart"/>
      <w:r>
        <w:rPr>
          <w:rFonts w:ascii="Lato" w:hAnsi="Lato"/>
          <w:i w:val="0"/>
          <w:iCs w:val="0"/>
          <w:sz w:val="24"/>
          <w:szCs w:val="24"/>
          <w:lang w:val="es-AR"/>
        </w:rPr>
        <w:t>linked</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programme</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records</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including</w:t>
      </w:r>
      <w:proofErr w:type="spellEnd"/>
      <w:r>
        <w:rPr>
          <w:rFonts w:ascii="Lato" w:hAnsi="Lato"/>
          <w:i w:val="0"/>
          <w:iCs w:val="0"/>
          <w:sz w:val="24"/>
          <w:szCs w:val="24"/>
          <w:lang w:val="es-AR"/>
        </w:rPr>
        <w:t xml:space="preserve"> </w:t>
      </w:r>
      <w:r>
        <w:rPr>
          <w:rFonts w:ascii="Lato" w:hAnsi="Lato"/>
          <w:i w:val="0"/>
          <w:iCs w:val="0"/>
          <w:sz w:val="24"/>
          <w:szCs w:val="24"/>
          <w:lang w:val="es-AR"/>
        </w:rPr>
        <w:lastRenderedPageBreak/>
        <w:t xml:space="preserve">retrospective </w:t>
      </w:r>
      <w:proofErr w:type="spellStart"/>
      <w:r>
        <w:rPr>
          <w:rFonts w:ascii="Lato" w:hAnsi="Lato"/>
          <w:i w:val="0"/>
          <w:iCs w:val="0"/>
          <w:sz w:val="24"/>
          <w:szCs w:val="24"/>
          <w:lang w:val="es-AR"/>
        </w:rPr>
        <w:t>calculation</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of</w:t>
      </w:r>
      <w:proofErr w:type="spellEnd"/>
      <w:r>
        <w:rPr>
          <w:rFonts w:ascii="Lato" w:hAnsi="Lato"/>
          <w:i w:val="0"/>
          <w:iCs w:val="0"/>
          <w:sz w:val="24"/>
          <w:szCs w:val="24"/>
          <w:lang w:val="es-AR"/>
        </w:rPr>
        <w:t xml:space="preserve"> WHZ </w:t>
      </w:r>
      <w:proofErr w:type="spellStart"/>
      <w:r>
        <w:rPr>
          <w:rFonts w:ascii="Lato" w:hAnsi="Lato"/>
          <w:i w:val="0"/>
          <w:iCs w:val="0"/>
          <w:sz w:val="24"/>
          <w:szCs w:val="24"/>
          <w:lang w:val="es-AR"/>
        </w:rPr>
        <w:t>where</w:t>
      </w:r>
      <w:proofErr w:type="spellEnd"/>
      <w:r>
        <w:rPr>
          <w:rFonts w:ascii="Lato" w:hAnsi="Lato"/>
          <w:i w:val="0"/>
          <w:iCs w:val="0"/>
          <w:sz w:val="24"/>
          <w:szCs w:val="24"/>
          <w:lang w:val="es-AR"/>
        </w:rPr>
        <w:t xml:space="preserve"> raw </w:t>
      </w:r>
      <w:proofErr w:type="spellStart"/>
      <w:r>
        <w:rPr>
          <w:rFonts w:ascii="Lato" w:hAnsi="Lato"/>
          <w:i w:val="0"/>
          <w:iCs w:val="0"/>
          <w:sz w:val="24"/>
          <w:szCs w:val="24"/>
          <w:lang w:val="es-AR"/>
        </w:rPr>
        <w:t>weight</w:t>
      </w:r>
      <w:proofErr w:type="spellEnd"/>
      <w:r>
        <w:rPr>
          <w:rFonts w:ascii="Lato" w:hAnsi="Lato"/>
          <w:i w:val="0"/>
          <w:iCs w:val="0"/>
          <w:sz w:val="24"/>
          <w:szCs w:val="24"/>
          <w:lang w:val="es-AR"/>
        </w:rPr>
        <w:t xml:space="preserve"> and </w:t>
      </w:r>
      <w:proofErr w:type="spellStart"/>
      <w:r>
        <w:rPr>
          <w:rFonts w:ascii="Lato" w:hAnsi="Lato"/>
          <w:i w:val="0"/>
          <w:iCs w:val="0"/>
          <w:sz w:val="24"/>
          <w:szCs w:val="24"/>
          <w:lang w:val="es-AR"/>
        </w:rPr>
        <w:t>height</w:t>
      </w:r>
      <w:proofErr w:type="spellEnd"/>
      <w:r>
        <w:rPr>
          <w:rFonts w:ascii="Lato" w:hAnsi="Lato"/>
          <w:i w:val="0"/>
          <w:iCs w:val="0"/>
          <w:sz w:val="24"/>
          <w:szCs w:val="24"/>
          <w:lang w:val="es-AR"/>
        </w:rPr>
        <w:t>/</w:t>
      </w:r>
      <w:proofErr w:type="spellStart"/>
      <w:r>
        <w:rPr>
          <w:rFonts w:ascii="Lato" w:hAnsi="Lato"/>
          <w:i w:val="0"/>
          <w:iCs w:val="0"/>
          <w:sz w:val="24"/>
          <w:szCs w:val="24"/>
          <w:lang w:val="es-AR"/>
        </w:rPr>
        <w:t>length</w:t>
      </w:r>
      <w:proofErr w:type="spellEnd"/>
      <w:r>
        <w:rPr>
          <w:rFonts w:ascii="Lato" w:hAnsi="Lato"/>
          <w:i w:val="0"/>
          <w:iCs w:val="0"/>
          <w:sz w:val="24"/>
          <w:szCs w:val="24"/>
          <w:lang w:val="es-AR"/>
        </w:rPr>
        <w:t xml:space="preserve"> are </w:t>
      </w:r>
      <w:proofErr w:type="spellStart"/>
      <w:r>
        <w:rPr>
          <w:rFonts w:ascii="Lato" w:hAnsi="Lato"/>
          <w:i w:val="0"/>
          <w:iCs w:val="0"/>
          <w:sz w:val="24"/>
          <w:szCs w:val="24"/>
          <w:lang w:val="es-AR"/>
        </w:rPr>
        <w:t>valid</w:t>
      </w:r>
      <w:proofErr w:type="spellEnd"/>
      <w:r>
        <w:rPr>
          <w:rFonts w:ascii="Lato" w:hAnsi="Lato"/>
          <w:i w:val="0"/>
          <w:iCs w:val="0"/>
          <w:sz w:val="24"/>
          <w:szCs w:val="24"/>
          <w:lang w:val="es-AR"/>
        </w:rPr>
        <w:t xml:space="preserve">, and </w:t>
      </w:r>
      <w:proofErr w:type="spellStart"/>
      <w:r>
        <w:rPr>
          <w:rFonts w:ascii="Lato" w:hAnsi="Lato"/>
          <w:i w:val="0"/>
          <w:iCs w:val="0"/>
          <w:sz w:val="24"/>
          <w:szCs w:val="24"/>
          <w:lang w:val="es-AR"/>
        </w:rPr>
        <w:t>an</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optional</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quasi</w:t>
      </w:r>
      <w:proofErr w:type="spellEnd"/>
      <w:r>
        <w:rPr>
          <w:rFonts w:ascii="Lato" w:hAnsi="Lato"/>
          <w:i w:val="0"/>
          <w:iCs w:val="0"/>
          <w:sz w:val="24"/>
          <w:szCs w:val="24"/>
          <w:lang w:val="es-AR"/>
        </w:rPr>
        <w:t xml:space="preserve">-experimental </w:t>
      </w:r>
      <w:proofErr w:type="spellStart"/>
      <w:r>
        <w:rPr>
          <w:rFonts w:ascii="Lato" w:hAnsi="Lato"/>
          <w:i w:val="0"/>
          <w:iCs w:val="0"/>
          <w:sz w:val="24"/>
          <w:szCs w:val="24"/>
          <w:lang w:val="es-AR"/>
        </w:rPr>
        <w:t>matched</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comparison</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if</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feasibility</w:t>
      </w:r>
      <w:proofErr w:type="spellEnd"/>
      <w:r>
        <w:rPr>
          <w:rFonts w:ascii="Lato" w:hAnsi="Lato"/>
          <w:i w:val="0"/>
          <w:iCs w:val="0"/>
          <w:sz w:val="24"/>
          <w:szCs w:val="24"/>
          <w:lang w:val="es-AR"/>
        </w:rPr>
        <w:t xml:space="preserve"> and data </w:t>
      </w:r>
      <w:proofErr w:type="spellStart"/>
      <w:r>
        <w:rPr>
          <w:rFonts w:ascii="Lato" w:hAnsi="Lato"/>
          <w:i w:val="0"/>
          <w:iCs w:val="0"/>
          <w:sz w:val="24"/>
          <w:szCs w:val="24"/>
          <w:lang w:val="es-AR"/>
        </w:rPr>
        <w:t>quality</w:t>
      </w:r>
      <w:proofErr w:type="spellEnd"/>
      <w:r>
        <w:rPr>
          <w:rFonts w:ascii="Lato" w:hAnsi="Lato"/>
          <w:i w:val="0"/>
          <w:iCs w:val="0"/>
          <w:sz w:val="24"/>
          <w:szCs w:val="24"/>
          <w:lang w:val="es-AR"/>
        </w:rPr>
        <w:t xml:space="preserve"> </w:t>
      </w:r>
      <w:proofErr w:type="spellStart"/>
      <w:r>
        <w:rPr>
          <w:rFonts w:ascii="Lato" w:hAnsi="Lato"/>
          <w:i w:val="0"/>
          <w:iCs w:val="0"/>
          <w:sz w:val="24"/>
          <w:szCs w:val="24"/>
          <w:lang w:val="es-AR"/>
        </w:rPr>
        <w:t>permit</w:t>
      </w:r>
      <w:proofErr w:type="spellEnd"/>
      <w:r>
        <w:rPr>
          <w:rFonts w:ascii="Lato" w:hAnsi="Lato"/>
          <w:i w:val="0"/>
          <w:iCs w:val="0"/>
          <w:sz w:val="24"/>
          <w:szCs w:val="24"/>
          <w:lang w:val="es-AR"/>
        </w:rPr>
        <w:t>.</w:t>
      </w:r>
    </w:p>
    <w:p w14:paraId="3DBA1505" w14:textId="77777777" w:rsidR="00DF2CA8" w:rsidRDefault="00572503">
      <w:pPr>
        <w:pStyle w:val="ListParagraph"/>
        <w:numPr>
          <w:ilvl w:val="0"/>
          <w:numId w:val="9"/>
        </w:numPr>
        <w:jc w:val="both"/>
        <w:rPr>
          <w:rFonts w:ascii="Lato" w:hAnsi="Lato"/>
          <w:i w:val="0"/>
          <w:iCs w:val="0"/>
          <w:sz w:val="24"/>
          <w:szCs w:val="24"/>
        </w:rPr>
      </w:pPr>
      <w:r>
        <w:rPr>
          <w:rFonts w:ascii="Lato" w:hAnsi="Lato"/>
          <w:i w:val="0"/>
          <w:iCs w:val="0"/>
          <w:sz w:val="24"/>
          <w:szCs w:val="24"/>
        </w:rPr>
        <w:t xml:space="preserve">Mixed quantitative and qualitative methods, including structured patient-card/record abstraction, a targeted caregiver/participant survey for outcomes not reliably captured in routine data, service/supply and interruption audits, provider assessment, key informant interviews, focus group discussions, and </w:t>
      </w:r>
      <w:proofErr w:type="spellStart"/>
      <w:r>
        <w:rPr>
          <w:rFonts w:ascii="Lato" w:hAnsi="Lato"/>
          <w:i w:val="0"/>
          <w:iCs w:val="0"/>
          <w:sz w:val="24"/>
          <w:szCs w:val="24"/>
        </w:rPr>
        <w:t>programme</w:t>
      </w:r>
      <w:proofErr w:type="spellEnd"/>
      <w:r>
        <w:rPr>
          <w:rFonts w:ascii="Lato" w:hAnsi="Lato"/>
          <w:i w:val="0"/>
          <w:iCs w:val="0"/>
          <w:sz w:val="24"/>
          <w:szCs w:val="24"/>
        </w:rPr>
        <w:t>/local-production costing where applicable. New anthropometric measurement will only be undertaken if a specific evidence gap or validation need is justified at inception.</w:t>
      </w:r>
    </w:p>
    <w:p w14:paraId="26C547C5" w14:textId="77777777" w:rsidR="00DF2CA8" w:rsidRDefault="00572503">
      <w:pPr>
        <w:pStyle w:val="ListParagraph"/>
        <w:numPr>
          <w:ilvl w:val="0"/>
          <w:numId w:val="9"/>
        </w:numPr>
        <w:jc w:val="both"/>
        <w:rPr>
          <w:rFonts w:ascii="Lato" w:hAnsi="Lato"/>
          <w:i w:val="0"/>
          <w:sz w:val="24"/>
          <w:szCs w:val="24"/>
        </w:rPr>
      </w:pPr>
      <w:r>
        <w:rPr>
          <w:rFonts w:ascii="Lato" w:hAnsi="Lato"/>
          <w:i w:val="0"/>
          <w:sz w:val="24"/>
          <w:szCs w:val="24"/>
        </w:rPr>
        <w:t>Random or census-based selection of eligible complete participant/patient cards for the retrospective quantitative component; an independently justified sample for caregiver outcomes not available from records; and a smaller purposive qualitative component with recruitment continued only until sufficient variation and thematic saturation are reached.</w:t>
      </w:r>
    </w:p>
    <w:p w14:paraId="795F1A11" w14:textId="77777777" w:rsidR="00DF2CA8" w:rsidRDefault="00572503">
      <w:pPr>
        <w:jc w:val="both"/>
        <w:rPr>
          <w:rFonts w:ascii="Lato" w:hAnsi="Lato"/>
          <w:color w:val="0070C0"/>
          <w:sz w:val="24"/>
          <w:szCs w:val="24"/>
        </w:rPr>
      </w:pPr>
      <w:r>
        <w:rPr>
          <w:rFonts w:ascii="Lato" w:hAnsi="Lato"/>
          <w:sz w:val="24"/>
          <w:szCs w:val="24"/>
        </w:rPr>
        <w:t>The final design must maximise comparability across sites and subgroups, preserve a clear distinction between intervention exposure and outcomes, document co-interventions and contextual shocks, and pre-specify analytical decisions before outcome analysis. Any change to the approved protocol or primary analysis must be documented and agreed with the Study Project Manager.</w:t>
      </w:r>
    </w:p>
    <w:p w14:paraId="507805A5" w14:textId="77777777" w:rsidR="00DF2CA8" w:rsidRDefault="00572503">
      <w:pPr>
        <w:pStyle w:val="Heading2"/>
        <w:rPr>
          <w:rFonts w:ascii="Lato" w:hAnsi="Lato"/>
          <w:color w:val="0070C0"/>
          <w:sz w:val="24"/>
          <w:szCs w:val="24"/>
        </w:rPr>
      </w:pPr>
      <w:r>
        <w:rPr>
          <w:sz w:val="24"/>
          <w:szCs w:val="24"/>
        </w:rPr>
        <w:t>Sampling</w:t>
      </w:r>
    </w:p>
    <w:p w14:paraId="277D745E" w14:textId="77777777" w:rsidR="00DF2CA8" w:rsidRDefault="00572503">
      <w:pPr>
        <w:jc w:val="both"/>
        <w:rPr>
          <w:rFonts w:ascii="Lato" w:hAnsi="Lato"/>
          <w:color w:val="0070C0"/>
          <w:sz w:val="24"/>
          <w:szCs w:val="24"/>
        </w:rPr>
      </w:pPr>
      <w:r>
        <w:rPr>
          <w:rFonts w:ascii="Lato" w:hAnsi="Lato"/>
          <w:sz w:val="24"/>
          <w:szCs w:val="24"/>
        </w:rPr>
        <w:t>The sampling plan must use separate and clearly defined frames for the retrospective record component and any primary caregiver survey. Following a completeness and quality audit, all eligible participant/patient cards with sufficiently complete exposure information and usable anthropometric observations should be included where feasible. If the number is too large for complete abstraction, a stratified random sample of completed cards will be drawn, with the final record sample size justified against the precision required for nutritional trajectories, incident MAM/SAM and planned subgroup analyses. A separate caregiver survey sample should be calculated only for outcomes that are not reliably available in routine records, such as current MAD, morbidity, care-seeking, food access/coping, acceptability and experience. Where population estimates are required, the survey sample should be powered to an agreed precision, normally 95% confidence and approximately ±5 percentage points after accounting for clustering and non-response. Final sample sizes must be recalculated after the verified frames and data-quality profile are known.</w:t>
      </w:r>
    </w:p>
    <w:p w14:paraId="12E6036E" w14:textId="77777777" w:rsidR="00DF2CA8" w:rsidRDefault="00572503">
      <w:pPr>
        <w:jc w:val="both"/>
        <w:rPr>
          <w:rFonts w:ascii="Lato" w:hAnsi="Lato"/>
          <w:color w:val="auto"/>
          <w:sz w:val="24"/>
          <w:szCs w:val="24"/>
        </w:rPr>
      </w:pPr>
      <w:r>
        <w:rPr>
          <w:rFonts w:ascii="Lato" w:hAnsi="Lato"/>
          <w:sz w:val="24"/>
          <w:szCs w:val="24"/>
        </w:rPr>
        <w:t xml:space="preserve">The retrospective record sample should be stratified, where feasible, by service site/catchment, child age group, programme exposure/dose, and periods of functional versus interrupted/unavailable TSFP services. The caregiver survey should be stratified by the relevant outcome population, including children aged 6–23 months for MAD and pregnant/breastfeeding women where applicable. Programmatically important subgroups, including displaced, hard-to-reach and disability-affected households, may </w:t>
      </w:r>
      <w:r>
        <w:rPr>
          <w:rFonts w:ascii="Lato" w:hAnsi="Lato"/>
          <w:sz w:val="24"/>
          <w:szCs w:val="24"/>
        </w:rPr>
        <w:lastRenderedPageBreak/>
        <w:t>be deliberately oversampled with appropriate weighting or clearly bounded subgroup interpretation.</w:t>
      </w:r>
    </w:p>
    <w:p w14:paraId="1D1E5F2A" w14:textId="77777777" w:rsidR="00DF2CA8" w:rsidRDefault="00572503">
      <w:pPr>
        <w:jc w:val="both"/>
        <w:rPr>
          <w:rFonts w:ascii="Lato" w:hAnsi="Lato"/>
          <w:color w:val="0070C0"/>
          <w:sz w:val="24"/>
          <w:szCs w:val="24"/>
        </w:rPr>
      </w:pPr>
      <w:r>
        <w:rPr>
          <w:rFonts w:ascii="Lato" w:hAnsi="Lato"/>
          <w:sz w:val="24"/>
          <w:szCs w:val="24"/>
        </w:rPr>
        <w:t>Probability sampling methods for quantitative components:</w:t>
      </w:r>
    </w:p>
    <w:p w14:paraId="31359DAF" w14:textId="77777777" w:rsidR="00DF2CA8" w:rsidRDefault="00572503">
      <w:pPr>
        <w:pStyle w:val="ListParagraph"/>
        <w:numPr>
          <w:ilvl w:val="0"/>
          <w:numId w:val="1"/>
        </w:numPr>
        <w:spacing w:after="0"/>
        <w:jc w:val="both"/>
        <w:rPr>
          <w:rFonts w:ascii="Lato" w:hAnsi="Lato"/>
          <w:color w:val="0070C0"/>
          <w:sz w:val="24"/>
          <w:szCs w:val="24"/>
        </w:rPr>
      </w:pPr>
      <w:r>
        <w:rPr>
          <w:rFonts w:ascii="Lato" w:hAnsi="Lato"/>
          <w:sz w:val="24"/>
          <w:szCs w:val="24"/>
        </w:rPr>
        <w:t>Simple random sampling from verified, completed participant/patient cards or service registers where complete and deduplicated frames are available.</w:t>
      </w:r>
    </w:p>
    <w:p w14:paraId="70EF0ABA" w14:textId="77777777" w:rsidR="00DF2CA8" w:rsidRDefault="00572503">
      <w:pPr>
        <w:pStyle w:val="ListParagraph"/>
        <w:numPr>
          <w:ilvl w:val="0"/>
          <w:numId w:val="1"/>
        </w:numPr>
        <w:jc w:val="both"/>
        <w:rPr>
          <w:rFonts w:ascii="Lato" w:hAnsi="Lato"/>
          <w:color w:val="0070C0"/>
          <w:sz w:val="24"/>
          <w:szCs w:val="24"/>
        </w:rPr>
      </w:pPr>
      <w:r>
        <w:rPr>
          <w:rFonts w:ascii="Lato" w:hAnsi="Lato"/>
          <w:sz w:val="24"/>
          <w:szCs w:val="24"/>
        </w:rPr>
        <w:t>Systematic random sampling from ordered card files, registers or household listings using a documented random start and sampling interval.</w:t>
      </w:r>
    </w:p>
    <w:p w14:paraId="1D7B7EB4" w14:textId="77777777" w:rsidR="00DF2CA8" w:rsidRDefault="00572503">
      <w:pPr>
        <w:pStyle w:val="ListParagraph"/>
        <w:numPr>
          <w:ilvl w:val="0"/>
          <w:numId w:val="1"/>
        </w:numPr>
        <w:jc w:val="both"/>
        <w:rPr>
          <w:rFonts w:ascii="Lato" w:hAnsi="Lato"/>
          <w:color w:val="0070C0"/>
          <w:sz w:val="24"/>
          <w:szCs w:val="24"/>
        </w:rPr>
      </w:pPr>
      <w:r>
        <w:rPr>
          <w:rFonts w:ascii="Lato" w:hAnsi="Lato"/>
          <w:sz w:val="24"/>
          <w:szCs w:val="24"/>
        </w:rPr>
        <w:t xml:space="preserve">Stratified random sampling by service site/catchment, age group, participant category, </w:t>
      </w:r>
      <w:proofErr w:type="spellStart"/>
      <w:r>
        <w:rPr>
          <w:rFonts w:ascii="Lato" w:hAnsi="Lato"/>
          <w:sz w:val="24"/>
          <w:szCs w:val="24"/>
        </w:rPr>
        <w:t>programme</w:t>
      </w:r>
      <w:proofErr w:type="spellEnd"/>
      <w:r>
        <w:rPr>
          <w:rFonts w:ascii="Lato" w:hAnsi="Lato"/>
          <w:sz w:val="24"/>
          <w:szCs w:val="24"/>
        </w:rPr>
        <w:t xml:space="preserve"> exposure and TSFP availability where required; sampling weights will correct disproportionate allocation when population estimates are reported.</w:t>
      </w:r>
    </w:p>
    <w:p w14:paraId="25B8800E" w14:textId="77777777" w:rsidR="00DF2CA8" w:rsidRDefault="00572503">
      <w:pPr>
        <w:pStyle w:val="ListParagraph"/>
        <w:numPr>
          <w:ilvl w:val="0"/>
          <w:numId w:val="1"/>
        </w:numPr>
        <w:jc w:val="both"/>
        <w:rPr>
          <w:rFonts w:ascii="Lato" w:hAnsi="Lato"/>
          <w:color w:val="0070C0"/>
          <w:sz w:val="24"/>
          <w:szCs w:val="24"/>
          <w:lang w:val="en-GB"/>
        </w:rPr>
      </w:pPr>
      <w:r>
        <w:rPr>
          <w:rFonts w:ascii="Lato" w:hAnsi="Lato"/>
          <w:sz w:val="24"/>
          <w:szCs w:val="24"/>
        </w:rPr>
        <w:t>Clustered sampling may be used for a caregiver survey only where security/access or lack of a complete individual frame requires area-based selection; cluster selection probabilities and design effects must be explicitly accounted for.</w:t>
      </w:r>
    </w:p>
    <w:p w14:paraId="3215698F" w14:textId="77777777" w:rsidR="00DF2CA8" w:rsidRDefault="00572503">
      <w:pPr>
        <w:jc w:val="both"/>
        <w:rPr>
          <w:rFonts w:ascii="Lato" w:hAnsi="Lato"/>
          <w:color w:val="0070C0"/>
          <w:sz w:val="24"/>
          <w:szCs w:val="24"/>
        </w:rPr>
      </w:pPr>
      <w:r>
        <w:rPr>
          <w:rFonts w:ascii="Lato" w:hAnsi="Lato"/>
          <w:sz w:val="24"/>
          <w:szCs w:val="24"/>
        </w:rPr>
        <w:t>Qualitative sampling methods and indicative size:</w:t>
      </w:r>
    </w:p>
    <w:p w14:paraId="7A7F6FEF" w14:textId="77777777" w:rsidR="00DF2CA8" w:rsidRDefault="00572503">
      <w:pPr>
        <w:pStyle w:val="ListParagraph"/>
        <w:numPr>
          <w:ilvl w:val="0"/>
          <w:numId w:val="1"/>
        </w:numPr>
        <w:spacing w:after="0"/>
        <w:jc w:val="both"/>
        <w:rPr>
          <w:rFonts w:ascii="Lato" w:hAnsi="Lato"/>
          <w:color w:val="0070C0"/>
          <w:sz w:val="24"/>
          <w:szCs w:val="24"/>
        </w:rPr>
      </w:pPr>
      <w:r>
        <w:rPr>
          <w:rFonts w:ascii="Lato" w:hAnsi="Lato"/>
          <w:sz w:val="24"/>
          <w:szCs w:val="24"/>
        </w:rPr>
        <w:t xml:space="preserve">Caregiver focus group discussions should normally comprise approximately 4–6 groups of 6–8 participants each, with purposive variation by site, recent </w:t>
      </w:r>
      <w:proofErr w:type="spellStart"/>
      <w:r>
        <w:rPr>
          <w:rFonts w:ascii="Lato" w:hAnsi="Lato"/>
          <w:sz w:val="24"/>
          <w:szCs w:val="24"/>
        </w:rPr>
        <w:t>programme</w:t>
      </w:r>
      <w:proofErr w:type="spellEnd"/>
      <w:r>
        <w:rPr>
          <w:rFonts w:ascii="Lato" w:hAnsi="Lato"/>
          <w:sz w:val="24"/>
          <w:szCs w:val="24"/>
        </w:rPr>
        <w:t xml:space="preserve"> exposure, participant category and vulnerability. The final number may be lower or higher depending on thematic saturation and operational feasibility.</w:t>
      </w:r>
    </w:p>
    <w:p w14:paraId="05F60DA0" w14:textId="77777777" w:rsidR="00DF2CA8" w:rsidRDefault="00572503">
      <w:pPr>
        <w:pStyle w:val="ListParagraph"/>
        <w:numPr>
          <w:ilvl w:val="0"/>
          <w:numId w:val="1"/>
        </w:numPr>
        <w:jc w:val="both"/>
        <w:rPr>
          <w:rFonts w:ascii="Lato" w:hAnsi="Lato"/>
          <w:color w:val="0070C0"/>
          <w:sz w:val="24"/>
          <w:szCs w:val="24"/>
        </w:rPr>
      </w:pPr>
      <w:r>
        <w:rPr>
          <w:rFonts w:ascii="Lato" w:hAnsi="Lato"/>
          <w:sz w:val="24"/>
          <w:szCs w:val="24"/>
        </w:rPr>
        <w:t>Approximately 12–18 key informant interviews should be planned across nutrition/service providers, community nutrition volunteers, partner staff, local health/nutrition authorities, supply/logistics actors and, where relevant, staff involved in local production or preparation. Data collection should stop when the required stakeholder variation has been covered and additional interviews no longer generate materially new information.</w:t>
      </w:r>
    </w:p>
    <w:p w14:paraId="4B7578E2" w14:textId="77777777" w:rsidR="00DF2CA8" w:rsidRDefault="00572503">
      <w:pPr>
        <w:pStyle w:val="ListParagraph"/>
        <w:numPr>
          <w:ilvl w:val="0"/>
          <w:numId w:val="1"/>
        </w:numPr>
        <w:jc w:val="both"/>
        <w:rPr>
          <w:rFonts w:ascii="Lato" w:hAnsi="Lato"/>
          <w:color w:val="0070C0"/>
          <w:sz w:val="24"/>
          <w:szCs w:val="24"/>
        </w:rPr>
      </w:pPr>
      <w:r>
        <w:rPr>
          <w:rFonts w:ascii="Lato" w:hAnsi="Lato"/>
          <w:sz w:val="24"/>
          <w:szCs w:val="24"/>
        </w:rPr>
        <w:t xml:space="preserve">Caregiver qualitative recruitment should </w:t>
      </w:r>
      <w:proofErr w:type="spellStart"/>
      <w:r>
        <w:rPr>
          <w:rFonts w:ascii="Lato" w:hAnsi="Lato"/>
          <w:sz w:val="24"/>
          <w:szCs w:val="24"/>
        </w:rPr>
        <w:t>prioritise</w:t>
      </w:r>
      <w:proofErr w:type="spellEnd"/>
      <w:r>
        <w:rPr>
          <w:rFonts w:ascii="Lato" w:hAnsi="Lato"/>
          <w:sz w:val="24"/>
          <w:szCs w:val="24"/>
        </w:rPr>
        <w:t xml:space="preserve"> current or recently exposed participants who can be reached through supported facilities or service points, using opportunistic recruitment within pre-defined purposive criteria to reduce tracing costs and recall bias. Former or discharged participants should only be traced where they are essential to answer a specific learning question and can be reached safely and feasibly; the recall period must be documented and considered in interpretation.</w:t>
      </w:r>
    </w:p>
    <w:p w14:paraId="74AB540F" w14:textId="77777777" w:rsidR="00DF2CA8" w:rsidRDefault="00572503">
      <w:pPr>
        <w:pStyle w:val="ListParagraph"/>
        <w:numPr>
          <w:ilvl w:val="0"/>
          <w:numId w:val="1"/>
        </w:numPr>
        <w:jc w:val="both"/>
        <w:rPr>
          <w:rFonts w:ascii="Lato" w:hAnsi="Lato"/>
          <w:color w:val="0070C0"/>
          <w:sz w:val="24"/>
          <w:szCs w:val="24"/>
        </w:rPr>
      </w:pPr>
      <w:r>
        <w:rPr>
          <w:rFonts w:ascii="Lato" w:hAnsi="Lato"/>
          <w:sz w:val="24"/>
          <w:szCs w:val="24"/>
        </w:rPr>
        <w:t xml:space="preserve">Purposive maximum-variation sampling will ensure inclusion of participants with different exposure levels and experiences, including completers and non-completers where feasible, pregnant/breastfeeding women, </w:t>
      </w:r>
      <w:proofErr w:type="spellStart"/>
      <w:r>
        <w:rPr>
          <w:rFonts w:ascii="Lato" w:hAnsi="Lato"/>
          <w:sz w:val="24"/>
          <w:szCs w:val="24"/>
        </w:rPr>
        <w:t>marginalised</w:t>
      </w:r>
      <w:proofErr w:type="spellEnd"/>
      <w:r>
        <w:rPr>
          <w:rFonts w:ascii="Lato" w:hAnsi="Lato"/>
          <w:sz w:val="24"/>
          <w:szCs w:val="24"/>
        </w:rPr>
        <w:t>/hard-to-reach participants, service providers, community volunteers, partner staff and authorities.</w:t>
      </w:r>
    </w:p>
    <w:p w14:paraId="6BC4BB1B" w14:textId="77777777" w:rsidR="00DF2CA8" w:rsidRDefault="00572503">
      <w:pPr>
        <w:pStyle w:val="ListParagraph"/>
        <w:numPr>
          <w:ilvl w:val="0"/>
          <w:numId w:val="1"/>
        </w:numPr>
        <w:jc w:val="both"/>
        <w:rPr>
          <w:rFonts w:ascii="Lato" w:hAnsi="Lato"/>
          <w:color w:val="0070C0"/>
          <w:sz w:val="24"/>
          <w:szCs w:val="24"/>
        </w:rPr>
      </w:pPr>
      <w:r>
        <w:rPr>
          <w:rFonts w:ascii="Lato" w:hAnsi="Lato"/>
          <w:sz w:val="24"/>
          <w:szCs w:val="24"/>
        </w:rPr>
        <w:t xml:space="preserve">Snowball sampling may be used only to identify hard-to-reach qualitative informants not readily identifiable through service points or </w:t>
      </w:r>
      <w:proofErr w:type="spellStart"/>
      <w:r>
        <w:rPr>
          <w:rFonts w:ascii="Lato" w:hAnsi="Lato"/>
          <w:sz w:val="24"/>
          <w:szCs w:val="24"/>
        </w:rPr>
        <w:t>programme</w:t>
      </w:r>
      <w:proofErr w:type="spellEnd"/>
      <w:r>
        <w:rPr>
          <w:rFonts w:ascii="Lato" w:hAnsi="Lato"/>
          <w:sz w:val="24"/>
          <w:szCs w:val="24"/>
        </w:rPr>
        <w:t xml:space="preserve"> lists, with safeguards against network concentration, disclosure of sensitive status and over-representation of connected participants.</w:t>
      </w:r>
    </w:p>
    <w:p w14:paraId="754AFE28" w14:textId="77777777" w:rsidR="00DF2CA8" w:rsidRDefault="00572503">
      <w:pPr>
        <w:pStyle w:val="Heading2"/>
        <w:rPr>
          <w:rFonts w:ascii="Lato" w:hAnsi="Lato"/>
          <w:sz w:val="24"/>
          <w:szCs w:val="24"/>
        </w:rPr>
      </w:pPr>
      <w:bookmarkStart w:id="9" w:name="_Toc61945691"/>
      <w:r>
        <w:rPr>
          <w:rFonts w:ascii="Lato" w:hAnsi="Lato"/>
          <w:sz w:val="24"/>
          <w:szCs w:val="24"/>
        </w:rPr>
        <w:lastRenderedPageBreak/>
        <w:t>Data Sources and Data Collection Methods / Tools</w:t>
      </w:r>
      <w:bookmarkEnd w:id="9"/>
    </w:p>
    <w:p w14:paraId="59052E67" w14:textId="77777777" w:rsidR="00DF2CA8" w:rsidRDefault="00572503">
      <w:pPr>
        <w:jc w:val="both"/>
        <w:rPr>
          <w:rFonts w:ascii="Lato" w:hAnsi="Lato"/>
          <w:color w:val="auto"/>
          <w:sz w:val="24"/>
          <w:szCs w:val="24"/>
        </w:rPr>
      </w:pPr>
      <w:r>
        <w:rPr>
          <w:rFonts w:ascii="Lato" w:hAnsi="Lato"/>
          <w:sz w:val="24"/>
          <w:szCs w:val="24"/>
        </w:rPr>
        <w:t>All primary data must support disaggregation, as applicable, by sex, age, disability, site/remoteness, displacement status, programme exposure, participant category and household vulnerability/food insecurity. Unique study identifiers should permit secure linkage across end-line survey, anthropometry and programme records without placing names or direct identifiers in analytical datasets.</w:t>
      </w:r>
    </w:p>
    <w:p w14:paraId="36D21895" w14:textId="77777777" w:rsidR="00DF2CA8" w:rsidRDefault="00572503">
      <w:pPr>
        <w:jc w:val="both"/>
        <w:rPr>
          <w:rFonts w:ascii="Lato" w:hAnsi="Lato"/>
          <w:sz w:val="24"/>
          <w:szCs w:val="24"/>
        </w:rPr>
      </w:pPr>
      <w:r>
        <w:rPr>
          <w:rFonts w:ascii="Lato" w:hAnsi="Lato"/>
          <w:sz w:val="24"/>
          <w:szCs w:val="24"/>
        </w:rPr>
        <w:t>Existing programme and administrative data sources to be drawn on include:</w:t>
      </w:r>
    </w:p>
    <w:p w14:paraId="3505ECF0" w14:textId="77777777" w:rsidR="00DF2CA8" w:rsidRDefault="00572503">
      <w:pPr>
        <w:pStyle w:val="ListParagraph"/>
        <w:numPr>
          <w:ilvl w:val="0"/>
          <w:numId w:val="5"/>
        </w:numPr>
        <w:jc w:val="both"/>
        <w:rPr>
          <w:rFonts w:ascii="Lato" w:hAnsi="Lato"/>
          <w:i w:val="0"/>
          <w:iCs w:val="0"/>
          <w:color w:val="0070C0"/>
          <w:sz w:val="24"/>
          <w:szCs w:val="24"/>
        </w:rPr>
      </w:pPr>
      <w:proofErr w:type="spellStart"/>
      <w:r>
        <w:rPr>
          <w:rFonts w:ascii="Lato" w:hAnsi="Lato"/>
          <w:i w:val="0"/>
          <w:iCs w:val="0"/>
          <w:sz w:val="24"/>
          <w:szCs w:val="24"/>
        </w:rPr>
        <w:t>Assida</w:t>
      </w:r>
      <w:proofErr w:type="spellEnd"/>
      <w:r>
        <w:rPr>
          <w:rFonts w:ascii="Lato" w:hAnsi="Lato"/>
          <w:i w:val="0"/>
          <w:iCs w:val="0"/>
          <w:sz w:val="24"/>
          <w:szCs w:val="24"/>
        </w:rPr>
        <w:t xml:space="preserve"> Plus participant/patient cards and eligibility/enrolment files; distribution/attendance records; raw and calculated anthropometric data, including MUAC, oedema, weight, height/length and retrospectively derived WHZ where possible; mass-screening data; OTP/TSFP/stabilization and referral records; treatment outcomes and relapse/follow-up information; facility and IYCF records subject to a documented data-quality assessment; stock cards and stock-out logs; ration quantities and procurement/logistics records; training, competency and supportive-supervision records; accountability/feedback data; structured security/access/supply/service interruption information; </w:t>
      </w:r>
      <w:proofErr w:type="spellStart"/>
      <w:r>
        <w:rPr>
          <w:rFonts w:ascii="Lato" w:hAnsi="Lato"/>
          <w:i w:val="0"/>
          <w:iCs w:val="0"/>
          <w:sz w:val="24"/>
          <w:szCs w:val="24"/>
        </w:rPr>
        <w:t>programme</w:t>
      </w:r>
      <w:proofErr w:type="spellEnd"/>
      <w:r>
        <w:rPr>
          <w:rFonts w:ascii="Lato" w:hAnsi="Lato"/>
          <w:i w:val="0"/>
          <w:iCs w:val="0"/>
          <w:sz w:val="24"/>
          <w:szCs w:val="24"/>
        </w:rPr>
        <w:t xml:space="preserve"> budgets and expenditure; and, where relevant, local production/preparation quality-assurance, laboratory, staffing, operational, regulatory and cost records.</w:t>
      </w:r>
    </w:p>
    <w:p w14:paraId="3F5F80BD" w14:textId="77777777" w:rsidR="00DF2CA8" w:rsidRDefault="00572503">
      <w:pPr>
        <w:jc w:val="both"/>
        <w:rPr>
          <w:rFonts w:ascii="Lato" w:hAnsi="Lato"/>
          <w:sz w:val="24"/>
          <w:szCs w:val="24"/>
        </w:rPr>
      </w:pPr>
      <w:r>
        <w:rPr>
          <w:rFonts w:ascii="Lato" w:hAnsi="Lato"/>
          <w:sz w:val="24"/>
          <w:szCs w:val="24"/>
        </w:rPr>
        <w:t>Primary tools will include: (1) a structured participant/patient card abstraction and longitudinal-linkage form; (2) a targeted caregiver/participant survey covering programme exposure, MAD/IYCF where relevant, recent diarrhoea and ARI/fever, immunisation, care-seeking, household food access/coping, acceptability and service experience; (3) a service, stock, ration-quality and TSFP-functionality audit; (4) a structured barrier/interruption chronology linking security, access, supply and service disruption to programme delivery periods; (5) provider training/competency and supervision tools; (6) FGD/KII guides; (7) a standardised programme costing template; and (8) where applicable, a local production/preparation unit assessment covering quality assurance, unit and operational cost, production capacity, facilities supplied, workforce skills, governance/regulatory requirements and scalability. New anthropometry should only be added as a limited validation or current-status component if the inception data audit demonstrates that it is essential to answer a priority question.</w:t>
      </w:r>
    </w:p>
    <w:p w14:paraId="4DDAAC6C" w14:textId="77777777" w:rsidR="00DF2CA8" w:rsidRDefault="00572503">
      <w:pPr>
        <w:jc w:val="both"/>
        <w:rPr>
          <w:rFonts w:ascii="Lato" w:hAnsi="Lato"/>
          <w:sz w:val="24"/>
          <w:szCs w:val="24"/>
        </w:rPr>
      </w:pPr>
      <w:r>
        <w:rPr>
          <w:rFonts w:ascii="Lato" w:hAnsi="Lato"/>
          <w:sz w:val="24"/>
          <w:szCs w:val="24"/>
        </w:rPr>
        <w:t xml:space="preserve">The study team shall include and cost appropriately skilled record abstractors, quantitative and qualitative researchers, nutrition expertise and field supervisors. Save the Children may facilitate access, introductions and logistics, with final field-support arrangements agreed during inception. Tools should be programmed electronically where feasible with range checks, skip logic, timestamps and audit trails. Instruments must be translated and contextually reviewed, pilot tested and revised before use. If any new anthropometry is approved, trained </w:t>
      </w:r>
      <w:proofErr w:type="spellStart"/>
      <w:r>
        <w:rPr>
          <w:rFonts w:ascii="Lato" w:hAnsi="Lato"/>
          <w:sz w:val="24"/>
          <w:szCs w:val="24"/>
        </w:rPr>
        <w:t>anthropometrists</w:t>
      </w:r>
      <w:proofErr w:type="spellEnd"/>
      <w:r>
        <w:rPr>
          <w:rFonts w:ascii="Lato" w:hAnsi="Lato"/>
          <w:sz w:val="24"/>
          <w:szCs w:val="24"/>
        </w:rPr>
        <w:t xml:space="preserve"> must complete standardisation and measurement-quality checks before deployment, with daily plausibility and completeness review during collection.</w:t>
      </w:r>
    </w:p>
    <w:p w14:paraId="59159C4D" w14:textId="77777777" w:rsidR="00DF2CA8" w:rsidRDefault="00572503">
      <w:pPr>
        <w:jc w:val="both"/>
        <w:rPr>
          <w:rFonts w:ascii="Lato" w:hAnsi="Lato"/>
          <w:sz w:val="24"/>
          <w:szCs w:val="24"/>
        </w:rPr>
      </w:pPr>
      <w:r>
        <w:rPr>
          <w:rFonts w:ascii="Lato" w:hAnsi="Lato"/>
          <w:sz w:val="24"/>
          <w:szCs w:val="24"/>
        </w:rPr>
        <w:lastRenderedPageBreak/>
        <w:t>Quantitative analysis will report design-adjusted estimates and 95% confidence intervals where applicable. Historical weight and height/length data should be used to calculate WHZ retrospectively where technically valid, with pre-specified cleaning and plausibility criteria. Longitudinal card data should be analysed for change in MUAC/WHZ, incident MAM/SAM, recovery or deterioration, referral/treatment pathways and relapse where dates and linkage quality permit. A specific subgroup analysis should follow children who became MAM/SAM during programme participation, including cases identified retrospectively by WHZ, to determine subsequent nutritional trajectory and service pathway. Multivariable models should examine associations with food-based and SBC/non-food exposure, dose, TSFP functionality, morbidity, food security and relevant confounders. Where data permit, service interruptions should be linked by time/site to screening, enrolment, treatment and outcome trends. Caregiver survey data should estimate MAD, relevant IYCF, morbidity, care-seeking, food access and coping indicators, while recognising that cross-sectional measures cannot establish pre/post change without a valid comparison. Heterogeneity analyses should include sex, age, disability, displacement status, site/remoteness and food insecurity where sample size permits. If a matched comparator is feasible, matching/weighting and balance diagnostics must be pre-specified. Missing data, incomplete cards, loss to follow-up and measurement error should be addressed through sensitivity analysis. Qualitative data will undergo structured framework/thematic analysis, including divergent cases. Integrated findings should be presented through triangulation matrices or joint displays. Cost analysis should estimate total and component costs, unit costs and key cost drivers; where local production/preparation is applicable, it should assess quality-assurance results, operational and unit costs, supply coverage, workforce capacity and comparison with feasible alternatives.</w:t>
      </w:r>
    </w:p>
    <w:p w14:paraId="2D1A137C" w14:textId="77777777" w:rsidR="00DF2CA8" w:rsidRDefault="00572503">
      <w:pPr>
        <w:jc w:val="both"/>
        <w:rPr>
          <w:rFonts w:ascii="Lato" w:hAnsi="Lato"/>
          <w:sz w:val="24"/>
          <w:szCs w:val="24"/>
        </w:rPr>
      </w:pPr>
      <w:r>
        <w:rPr>
          <w:rFonts w:ascii="Lato" w:hAnsi="Lato"/>
          <w:sz w:val="24"/>
          <w:szCs w:val="24"/>
        </w:rPr>
        <w:t>The study team is required to adhere to the Save the Children Child Safeguarding; Protection from Sexual Exploitation and Abuse; Anti-Harassment, Intimidation and Bullying; and Data Protection and Privacy policies throughout all study activities. The inception report must describe how patient-card, caregiver, qualitative, implementation, contextual and costing evidence will be triangulated against each study question and how residual evidence gaps will be reported rather than filled through unsupported inference.</w:t>
      </w:r>
    </w:p>
    <w:p w14:paraId="5C6A49E5" w14:textId="77777777" w:rsidR="00DF2CA8" w:rsidRDefault="00572503">
      <w:pPr>
        <w:pStyle w:val="Heading2"/>
        <w:rPr>
          <w:rFonts w:ascii="Lato" w:hAnsi="Lato"/>
          <w:sz w:val="24"/>
          <w:szCs w:val="24"/>
        </w:rPr>
      </w:pPr>
      <w:bookmarkStart w:id="10" w:name="_Toc61945692"/>
      <w:r>
        <w:rPr>
          <w:rFonts w:ascii="Lato" w:hAnsi="Lato"/>
          <w:sz w:val="24"/>
          <w:szCs w:val="24"/>
        </w:rPr>
        <w:t>Ethical Considerations</w:t>
      </w:r>
      <w:bookmarkEnd w:id="10"/>
    </w:p>
    <w:p w14:paraId="74A1CBD3" w14:textId="77777777" w:rsidR="00DF2CA8" w:rsidRDefault="00572503">
      <w:pPr>
        <w:jc w:val="both"/>
        <w:rPr>
          <w:rFonts w:ascii="Lato" w:hAnsi="Lato"/>
          <w:sz w:val="24"/>
          <w:szCs w:val="24"/>
        </w:rPr>
      </w:pPr>
      <w:r>
        <w:rPr>
          <w:rFonts w:ascii="Lato" w:hAnsi="Lato"/>
          <w:sz w:val="24"/>
          <w:szCs w:val="24"/>
        </w:rPr>
        <w:t>It is expected that this study will be:</w:t>
      </w:r>
    </w:p>
    <w:p w14:paraId="7E156498" w14:textId="77777777" w:rsidR="00DF2CA8" w:rsidRDefault="00572503">
      <w:pPr>
        <w:pStyle w:val="ListParagraph"/>
        <w:numPr>
          <w:ilvl w:val="0"/>
          <w:numId w:val="10"/>
        </w:numPr>
        <w:jc w:val="both"/>
        <w:rPr>
          <w:rFonts w:ascii="Lato" w:hAnsi="Lato"/>
          <w:i w:val="0"/>
          <w:iCs w:val="0"/>
          <w:sz w:val="24"/>
          <w:szCs w:val="24"/>
        </w:rPr>
      </w:pPr>
      <w:r>
        <w:rPr>
          <w:rFonts w:ascii="Lato" w:hAnsi="Lato"/>
          <w:bCs/>
          <w:i w:val="0"/>
          <w:sz w:val="24"/>
          <w:szCs w:val="24"/>
        </w:rPr>
        <w:t>Child-sensitive and proportionate. Because the primary child population is under five years of age, caregiver consent and caregiver-reported experience will be the principal mechanisms for participation. Children should not be directly interviewed on topics that are inappropriate for their developmental stage. Anthropometric measurement must protect dignity, privacy and physical safety.</w:t>
      </w:r>
    </w:p>
    <w:p w14:paraId="15C120AB" w14:textId="77777777" w:rsidR="00DF2CA8" w:rsidRDefault="00572503">
      <w:pPr>
        <w:pStyle w:val="ListParagraph"/>
        <w:numPr>
          <w:ilvl w:val="0"/>
          <w:numId w:val="10"/>
        </w:numPr>
        <w:jc w:val="both"/>
        <w:rPr>
          <w:rFonts w:ascii="Lato" w:hAnsi="Lato"/>
          <w:i w:val="0"/>
          <w:iCs w:val="0"/>
          <w:sz w:val="24"/>
          <w:szCs w:val="24"/>
        </w:rPr>
      </w:pPr>
      <w:r>
        <w:rPr>
          <w:rFonts w:ascii="Lato" w:hAnsi="Lato"/>
          <w:bCs/>
          <w:i w:val="0"/>
          <w:iCs w:val="0"/>
          <w:sz w:val="24"/>
          <w:szCs w:val="24"/>
        </w:rPr>
        <w:t>Inclusive. Recruitment and field procedures must actively consider children with disabilities, displaced households, remote communities, pregnant/breastfeeding women and other groups at risk of exclusion. Reasonable accommodations and accessible communication should be built into the protocol.</w:t>
      </w:r>
    </w:p>
    <w:p w14:paraId="2D0F06EE" w14:textId="77777777" w:rsidR="00DF2CA8" w:rsidRDefault="00572503">
      <w:pPr>
        <w:pStyle w:val="ListParagraph"/>
        <w:numPr>
          <w:ilvl w:val="0"/>
          <w:numId w:val="10"/>
        </w:numPr>
        <w:jc w:val="both"/>
        <w:rPr>
          <w:rFonts w:ascii="Lato" w:hAnsi="Lato"/>
          <w:i w:val="0"/>
          <w:sz w:val="24"/>
          <w:szCs w:val="24"/>
        </w:rPr>
      </w:pPr>
      <w:r>
        <w:rPr>
          <w:rFonts w:ascii="Lato" w:hAnsi="Lato"/>
          <w:b/>
          <w:i w:val="0"/>
          <w:sz w:val="24"/>
          <w:szCs w:val="24"/>
        </w:rPr>
        <w:lastRenderedPageBreak/>
        <w:t>Ethical: The study must be guided by the following ethical considerations:</w:t>
      </w:r>
    </w:p>
    <w:p w14:paraId="3489A4E4" w14:textId="77777777" w:rsidR="00DF2CA8" w:rsidRDefault="00572503">
      <w:pPr>
        <w:pStyle w:val="ListParagraph"/>
        <w:numPr>
          <w:ilvl w:val="1"/>
          <w:numId w:val="6"/>
        </w:numPr>
        <w:jc w:val="both"/>
        <w:rPr>
          <w:rFonts w:ascii="Lato" w:hAnsi="Lato"/>
          <w:i w:val="0"/>
          <w:sz w:val="24"/>
          <w:szCs w:val="24"/>
        </w:rPr>
      </w:pPr>
      <w:r>
        <w:rPr>
          <w:rFonts w:ascii="Lato" w:hAnsi="Lato"/>
          <w:i w:val="0"/>
          <w:sz w:val="24"/>
          <w:szCs w:val="24"/>
        </w:rPr>
        <w:t xml:space="preserve">Safeguarding – demonstrating the highest standards of </w:t>
      </w:r>
      <w:proofErr w:type="spellStart"/>
      <w:r>
        <w:rPr>
          <w:rFonts w:ascii="Lato" w:hAnsi="Lato"/>
          <w:i w:val="0"/>
          <w:sz w:val="24"/>
          <w:szCs w:val="24"/>
        </w:rPr>
        <w:t>behaviour</w:t>
      </w:r>
      <w:proofErr w:type="spellEnd"/>
      <w:r>
        <w:rPr>
          <w:rFonts w:ascii="Lato" w:hAnsi="Lato"/>
          <w:i w:val="0"/>
          <w:sz w:val="24"/>
          <w:szCs w:val="24"/>
        </w:rPr>
        <w:t xml:space="preserve"> towards children and adults and applying mandatory safeguarding and PSEA procedures.</w:t>
      </w:r>
    </w:p>
    <w:p w14:paraId="1F877CCC" w14:textId="77777777" w:rsidR="00DF2CA8" w:rsidRDefault="00572503">
      <w:pPr>
        <w:pStyle w:val="ListParagraph"/>
        <w:numPr>
          <w:ilvl w:val="1"/>
          <w:numId w:val="6"/>
        </w:numPr>
        <w:jc w:val="both"/>
        <w:rPr>
          <w:rFonts w:ascii="Lato" w:hAnsi="Lato"/>
          <w:i w:val="0"/>
          <w:sz w:val="24"/>
          <w:szCs w:val="24"/>
        </w:rPr>
      </w:pPr>
      <w:r>
        <w:rPr>
          <w:rFonts w:ascii="Lato" w:hAnsi="Lato"/>
          <w:i w:val="0"/>
          <w:sz w:val="24"/>
          <w:szCs w:val="24"/>
        </w:rPr>
        <w:t>Sensitivity – to child rights, gender, disability, displacement, inclusion, local language and cultural context.</w:t>
      </w:r>
    </w:p>
    <w:p w14:paraId="2BCB59E7" w14:textId="77777777" w:rsidR="00DF2CA8" w:rsidRDefault="00572503">
      <w:pPr>
        <w:pStyle w:val="ListParagraph"/>
        <w:numPr>
          <w:ilvl w:val="1"/>
          <w:numId w:val="6"/>
        </w:numPr>
        <w:jc w:val="both"/>
        <w:rPr>
          <w:rFonts w:ascii="Lato" w:hAnsi="Lato"/>
          <w:i w:val="0"/>
          <w:sz w:val="24"/>
          <w:szCs w:val="24"/>
        </w:rPr>
      </w:pPr>
      <w:r>
        <w:rPr>
          <w:rFonts w:ascii="Lato" w:hAnsi="Lato"/>
          <w:i w:val="0"/>
          <w:sz w:val="24"/>
          <w:szCs w:val="24"/>
        </w:rPr>
        <w:t>Openness – providing participants with clear and truthful information on the study purpose, procedures, voluntariness, risks, benefits and use of data.</w:t>
      </w:r>
    </w:p>
    <w:p w14:paraId="3344CACF" w14:textId="77777777" w:rsidR="00DF2CA8" w:rsidRDefault="00572503">
      <w:pPr>
        <w:pStyle w:val="ListParagraph"/>
        <w:numPr>
          <w:ilvl w:val="1"/>
          <w:numId w:val="6"/>
        </w:numPr>
        <w:jc w:val="both"/>
        <w:rPr>
          <w:rFonts w:ascii="Lato" w:hAnsi="Lato"/>
          <w:i w:val="0"/>
          <w:sz w:val="24"/>
          <w:szCs w:val="24"/>
        </w:rPr>
      </w:pPr>
      <w:r>
        <w:rPr>
          <w:rFonts w:ascii="Lato" w:hAnsi="Lato"/>
          <w:i w:val="0"/>
          <w:sz w:val="24"/>
          <w:szCs w:val="24"/>
        </w:rPr>
        <w:t xml:space="preserve">Confidentiality and data protection – </w:t>
      </w:r>
      <w:proofErr w:type="spellStart"/>
      <w:r>
        <w:rPr>
          <w:rFonts w:ascii="Lato" w:hAnsi="Lato"/>
          <w:i w:val="0"/>
          <w:sz w:val="24"/>
          <w:szCs w:val="24"/>
        </w:rPr>
        <w:t>minimising</w:t>
      </w:r>
      <w:proofErr w:type="spellEnd"/>
      <w:r>
        <w:rPr>
          <w:rFonts w:ascii="Lato" w:hAnsi="Lato"/>
          <w:i w:val="0"/>
          <w:sz w:val="24"/>
          <w:szCs w:val="24"/>
        </w:rPr>
        <w:t xml:space="preserve"> collection of identifying information; separating linkage keys from analytical data; encrypting data in transfer and storage; and restricting access to </w:t>
      </w:r>
      <w:proofErr w:type="spellStart"/>
      <w:r>
        <w:rPr>
          <w:rFonts w:ascii="Lato" w:hAnsi="Lato"/>
          <w:i w:val="0"/>
          <w:sz w:val="24"/>
          <w:szCs w:val="24"/>
        </w:rPr>
        <w:t>authorised</w:t>
      </w:r>
      <w:proofErr w:type="spellEnd"/>
      <w:r>
        <w:rPr>
          <w:rFonts w:ascii="Lato" w:hAnsi="Lato"/>
          <w:i w:val="0"/>
          <w:sz w:val="24"/>
          <w:szCs w:val="24"/>
        </w:rPr>
        <w:t xml:space="preserve"> personnel.</w:t>
      </w:r>
    </w:p>
    <w:p w14:paraId="71254382" w14:textId="77777777" w:rsidR="00DF2CA8" w:rsidRDefault="00572503">
      <w:pPr>
        <w:pStyle w:val="ListParagraph"/>
        <w:numPr>
          <w:ilvl w:val="1"/>
          <w:numId w:val="6"/>
        </w:numPr>
        <w:jc w:val="both"/>
        <w:rPr>
          <w:rFonts w:ascii="Lato" w:hAnsi="Lato"/>
          <w:i w:val="0"/>
          <w:sz w:val="24"/>
          <w:szCs w:val="24"/>
        </w:rPr>
      </w:pPr>
      <w:r>
        <w:rPr>
          <w:rFonts w:ascii="Lato" w:hAnsi="Lato"/>
          <w:i w:val="0"/>
          <w:sz w:val="24"/>
          <w:szCs w:val="24"/>
        </w:rPr>
        <w:t>Responsible dissemination – findings may be made public when approved, provided that no individual, household or sensitive community can be identified and disclosure risks are appropriately managed.</w:t>
      </w:r>
    </w:p>
    <w:p w14:paraId="3D9BCA0A" w14:textId="77777777" w:rsidR="00DF2CA8" w:rsidRDefault="00572503">
      <w:pPr>
        <w:pStyle w:val="ListParagraph"/>
        <w:numPr>
          <w:ilvl w:val="1"/>
          <w:numId w:val="6"/>
        </w:numPr>
        <w:jc w:val="both"/>
        <w:rPr>
          <w:rFonts w:ascii="Lato" w:hAnsi="Lato"/>
          <w:i w:val="0"/>
          <w:sz w:val="24"/>
          <w:szCs w:val="24"/>
        </w:rPr>
      </w:pPr>
      <w:r>
        <w:rPr>
          <w:rFonts w:ascii="Lato" w:hAnsi="Lato"/>
          <w:i w:val="0"/>
          <w:sz w:val="24"/>
          <w:szCs w:val="24"/>
        </w:rPr>
        <w:t xml:space="preserve">Broad participation – relevant </w:t>
      </w:r>
      <w:proofErr w:type="spellStart"/>
      <w:r>
        <w:rPr>
          <w:rFonts w:ascii="Lato" w:hAnsi="Lato"/>
          <w:i w:val="0"/>
          <w:sz w:val="24"/>
          <w:szCs w:val="24"/>
        </w:rPr>
        <w:t>programme</w:t>
      </w:r>
      <w:proofErr w:type="spellEnd"/>
      <w:r>
        <w:rPr>
          <w:rFonts w:ascii="Lato" w:hAnsi="Lato"/>
          <w:i w:val="0"/>
          <w:sz w:val="24"/>
          <w:szCs w:val="24"/>
        </w:rPr>
        <w:t>, government, partner and community stakeholders should be involved in interpretation and validation where safe and appropriate.</w:t>
      </w:r>
    </w:p>
    <w:p w14:paraId="1CA2A632" w14:textId="77777777" w:rsidR="00DF2CA8" w:rsidRDefault="00572503">
      <w:pPr>
        <w:pStyle w:val="ListParagraph"/>
        <w:numPr>
          <w:ilvl w:val="1"/>
          <w:numId w:val="6"/>
        </w:numPr>
        <w:jc w:val="both"/>
        <w:rPr>
          <w:rFonts w:ascii="Lato" w:hAnsi="Lato"/>
          <w:i w:val="0"/>
          <w:sz w:val="24"/>
          <w:szCs w:val="24"/>
        </w:rPr>
      </w:pPr>
      <w:r>
        <w:rPr>
          <w:rFonts w:ascii="Lato" w:hAnsi="Lato"/>
          <w:i w:val="0"/>
          <w:sz w:val="24"/>
          <w:szCs w:val="24"/>
        </w:rPr>
        <w:t>Reliability and independence – study procedures, analysis decisions, conflicts of interest and deviations from protocol must be transparently documented so that findings are trustworthy and auditable.</w:t>
      </w:r>
    </w:p>
    <w:p w14:paraId="26CE875C" w14:textId="77777777" w:rsidR="00DF2CA8" w:rsidRDefault="00572503">
      <w:pPr>
        <w:jc w:val="both"/>
        <w:rPr>
          <w:rFonts w:ascii="Lato" w:hAnsi="Lato"/>
          <w:color w:val="auto"/>
          <w:sz w:val="24"/>
          <w:szCs w:val="24"/>
        </w:rPr>
      </w:pPr>
      <w:r>
        <w:rPr>
          <w:rFonts w:ascii="Lato" w:hAnsi="Lato"/>
          <w:sz w:val="24"/>
          <w:szCs w:val="24"/>
        </w:rPr>
        <w:t>It is expected that:</w:t>
      </w:r>
    </w:p>
    <w:p w14:paraId="5C2B9AEE" w14:textId="77777777" w:rsidR="00DF2CA8" w:rsidRDefault="00572503">
      <w:pPr>
        <w:pStyle w:val="ListParagraph"/>
        <w:numPr>
          <w:ilvl w:val="0"/>
          <w:numId w:val="10"/>
        </w:numPr>
        <w:jc w:val="both"/>
        <w:rPr>
          <w:rFonts w:ascii="Lato" w:hAnsi="Lato"/>
          <w:i w:val="0"/>
          <w:sz w:val="24"/>
          <w:szCs w:val="24"/>
        </w:rPr>
      </w:pPr>
      <w:r>
        <w:rPr>
          <w:rFonts w:ascii="Lato" w:hAnsi="Lato" w:cstheme="minorHAnsi"/>
          <w:i w:val="0"/>
          <w:sz w:val="24"/>
          <w:szCs w:val="24"/>
        </w:rPr>
        <w:t>Data collection methods will be age-, gender-, disability- and culturally appropriate, with privacy arrangements suitable for caregivers and pregnant/breastfeeding women.</w:t>
      </w:r>
    </w:p>
    <w:p w14:paraId="0FE37362" w14:textId="77777777" w:rsidR="00DF2CA8" w:rsidRDefault="00572503">
      <w:pPr>
        <w:pStyle w:val="ListParagraph"/>
        <w:numPr>
          <w:ilvl w:val="0"/>
          <w:numId w:val="10"/>
        </w:numPr>
        <w:jc w:val="both"/>
        <w:rPr>
          <w:rFonts w:ascii="Lato" w:hAnsi="Lato" w:cstheme="minorHAnsi"/>
          <w:i w:val="0"/>
          <w:sz w:val="24"/>
          <w:szCs w:val="24"/>
        </w:rPr>
      </w:pPr>
      <w:r>
        <w:rPr>
          <w:rFonts w:ascii="Lato" w:hAnsi="Lato" w:cstheme="minorHAnsi"/>
          <w:i w:val="0"/>
          <w:sz w:val="24"/>
          <w:szCs w:val="24"/>
        </w:rPr>
        <w:t>Study encounters will be conducted in a safe and respectful environment. Participation will not affect eligibility for humanitarian assistance or access to services.</w:t>
      </w:r>
    </w:p>
    <w:p w14:paraId="23CE1EB1" w14:textId="77777777" w:rsidR="00DF2CA8" w:rsidRDefault="00572503">
      <w:pPr>
        <w:pStyle w:val="ListParagraph"/>
        <w:numPr>
          <w:ilvl w:val="0"/>
          <w:numId w:val="10"/>
        </w:numPr>
        <w:jc w:val="both"/>
        <w:rPr>
          <w:rFonts w:ascii="Lato" w:hAnsi="Lato" w:cstheme="minorHAnsi"/>
          <w:i w:val="0"/>
          <w:sz w:val="24"/>
          <w:szCs w:val="24"/>
        </w:rPr>
      </w:pPr>
      <w:r>
        <w:rPr>
          <w:rFonts w:ascii="Lato" w:hAnsi="Lato" w:cstheme="minorHAnsi"/>
          <w:i w:val="0"/>
          <w:sz w:val="24"/>
          <w:szCs w:val="24"/>
        </w:rPr>
        <w:t>A documented study risk assessment will cover security, safeguarding, participant burden, nutritional/medical findings, confidentiality, community expectations, enumerator safety and potential harms from disclosure.</w:t>
      </w:r>
    </w:p>
    <w:p w14:paraId="357C2699" w14:textId="77777777" w:rsidR="00DF2CA8" w:rsidRDefault="00572503">
      <w:pPr>
        <w:pStyle w:val="ListParagraph"/>
        <w:numPr>
          <w:ilvl w:val="0"/>
          <w:numId w:val="10"/>
        </w:numPr>
        <w:jc w:val="both"/>
        <w:rPr>
          <w:rFonts w:ascii="Lato" w:hAnsi="Lato" w:cstheme="minorHAnsi"/>
          <w:i w:val="0"/>
          <w:sz w:val="24"/>
          <w:szCs w:val="24"/>
        </w:rPr>
      </w:pPr>
      <w:r>
        <w:rPr>
          <w:rFonts w:ascii="Lato" w:hAnsi="Lato" w:cstheme="minorHAnsi"/>
          <w:i w:val="0"/>
          <w:sz w:val="24"/>
          <w:szCs w:val="24"/>
        </w:rPr>
        <w:t>A functional referral protocol must be in place before fieldwork. Children identified with acute malnutrition, bilateral oedema, clinical danger signs or urgent protection concerns must be referred immediately through approved services, with no study procedure delaying care.</w:t>
      </w:r>
    </w:p>
    <w:p w14:paraId="76E17B31" w14:textId="77777777" w:rsidR="00DF2CA8" w:rsidRDefault="00572503">
      <w:pPr>
        <w:pStyle w:val="ListParagraph"/>
        <w:numPr>
          <w:ilvl w:val="0"/>
          <w:numId w:val="10"/>
        </w:numPr>
        <w:jc w:val="both"/>
        <w:rPr>
          <w:rFonts w:ascii="Lato" w:hAnsi="Lato" w:cstheme="minorHAnsi"/>
          <w:i w:val="0"/>
          <w:sz w:val="24"/>
          <w:szCs w:val="24"/>
        </w:rPr>
      </w:pPr>
      <w:r>
        <w:rPr>
          <w:rFonts w:ascii="Lato" w:hAnsi="Lato" w:cstheme="minorHAnsi"/>
          <w:i w:val="0"/>
          <w:sz w:val="24"/>
          <w:szCs w:val="24"/>
        </w:rPr>
        <w:t>Written or appropriately documented informed consent will be obtained from adult participants/caregivers before participation. Participation is voluntary and refusal or withdrawal will have no effect on services. Assent requirements will apply only if older children are directly engaged in any additional qualitative component.</w:t>
      </w:r>
    </w:p>
    <w:p w14:paraId="43400F2C" w14:textId="77777777" w:rsidR="00DF2CA8" w:rsidRDefault="00572503">
      <w:pPr>
        <w:jc w:val="both"/>
        <w:rPr>
          <w:rFonts w:ascii="Lato" w:hAnsi="Lato"/>
          <w:color w:val="auto"/>
          <w:sz w:val="24"/>
          <w:szCs w:val="24"/>
        </w:rPr>
      </w:pPr>
      <w:r>
        <w:rPr>
          <w:rFonts w:ascii="Lato" w:hAnsi="Lato"/>
          <w:sz w:val="24"/>
          <w:szCs w:val="24"/>
        </w:rPr>
        <w:lastRenderedPageBreak/>
        <w:t>The study team will be required to obtain all Save the Children and, where applicable, national/institutional Human Research Ethics Committee approvals required for research involving human participants before primary data collection. The study team is responsible for preparing the protocol, participant information/consent materials, data-management plan and ethics submission; Save the Children will provide the institutional documentation and coordination reasonably required for the submission process. No research activity requiring ethics approval may commence before written approval is received.</w:t>
      </w:r>
    </w:p>
    <w:p w14:paraId="0B92D4F1" w14:textId="77777777" w:rsidR="00DF2CA8" w:rsidRDefault="00572503">
      <w:pPr>
        <w:pStyle w:val="Heading2"/>
        <w:rPr>
          <w:rFonts w:ascii="Lato" w:hAnsi="Lato"/>
          <w:sz w:val="24"/>
          <w:szCs w:val="24"/>
        </w:rPr>
      </w:pPr>
      <w:bookmarkStart w:id="11" w:name="_Toc19287756"/>
      <w:bookmarkEnd w:id="11"/>
      <w:r>
        <w:rPr>
          <w:rFonts w:ascii="Lato" w:hAnsi="Lato"/>
          <w:sz w:val="24"/>
          <w:szCs w:val="24"/>
        </w:rPr>
        <w:t>Known limitations</w:t>
      </w:r>
    </w:p>
    <w:p w14:paraId="1AFFDFBE" w14:textId="77777777" w:rsidR="00DF2CA8" w:rsidRDefault="00572503">
      <w:pPr>
        <w:jc w:val="both"/>
        <w:rPr>
          <w:rFonts w:ascii="Lato" w:hAnsi="Lato"/>
          <w:sz w:val="24"/>
          <w:szCs w:val="24"/>
        </w:rPr>
      </w:pPr>
      <w:r>
        <w:rPr>
          <w:rFonts w:ascii="Lato" w:hAnsi="Lato"/>
          <w:sz w:val="24"/>
          <w:szCs w:val="24"/>
        </w:rPr>
        <w:t>Known methodological risks include insecurity and access restrictions; continued population movement; incomplete, inconsistent or non-linkable participant cards and routine records; variable quality of IYCF and other service data; loss to follow-up; absence of a randomised counterfactual and potentially limited baseline comparability; contamination from concurrent nutrition/health assistance; seasonal variation in food availability and morbidity; recall and social-desirability bias, particularly for former participants; and inability to isolate individual package components when participants receive overlapping services. Historical WHZ may not have been calculated during implementation even where weight and height/length were recorded; the study should therefore derive WHZ retrospectively only from technically valid measurements and report missingness and plausibility limitations. The inception report must provide a limitation-and-mitigation matrix. At minimum, mitigation should include patient-card/frame verification, routine-data quality audit, random selection of complete historical records where a census is not feasible, prioritisation of current/recent participants for qualitative inquiry, capture of component exposure and co-interventions, documentation of TSFP functionality and service interruptions, triangulation, subgroup/sensitivity analyses and conservative causal language. New anthropometry should not be used simply to duplicate existing valid measures.</w:t>
      </w:r>
    </w:p>
    <w:p w14:paraId="65374CB8" w14:textId="77777777" w:rsidR="00DF2CA8" w:rsidRDefault="00DF2CA8">
      <w:pPr>
        <w:rPr>
          <w:rFonts w:ascii="Lato" w:hAnsi="Lato" w:cstheme="minorHAnsi"/>
          <w:color w:val="0070C0"/>
          <w:sz w:val="24"/>
          <w:szCs w:val="24"/>
        </w:rPr>
      </w:pPr>
    </w:p>
    <w:p w14:paraId="4620D850" w14:textId="56000335" w:rsidR="00614E54" w:rsidRPr="00614E54" w:rsidRDefault="00614E54" w:rsidP="00614E54">
      <w:pPr>
        <w:pStyle w:val="Heading1"/>
        <w:rPr>
          <w:rFonts w:ascii="Lato" w:hAnsi="Lato"/>
          <w:b/>
          <w:caps w:val="0"/>
          <w:sz w:val="24"/>
          <w:szCs w:val="24"/>
        </w:rPr>
      </w:pPr>
      <w:bookmarkStart w:id="12" w:name="_Toc61945697"/>
      <w:bookmarkStart w:id="13" w:name="_Toc61945693"/>
      <w:r w:rsidRPr="00614E54">
        <w:rPr>
          <w:rFonts w:ascii="Lato" w:hAnsi="Lato"/>
          <w:b/>
          <w:caps w:val="0"/>
          <w:sz w:val="24"/>
          <w:szCs w:val="24"/>
        </w:rPr>
        <w:t>Expected Deliverables</w:t>
      </w:r>
      <w:bookmarkEnd w:id="13"/>
    </w:p>
    <w:p w14:paraId="75174E60" w14:textId="77777777" w:rsidR="00614E54" w:rsidRPr="00614E54" w:rsidRDefault="00614E54" w:rsidP="00614E54">
      <w:pPr>
        <w:jc w:val="both"/>
        <w:rPr>
          <w:rFonts w:ascii="Lato" w:hAnsi="Lato" w:cs="Arial"/>
          <w:sz w:val="24"/>
          <w:szCs w:val="24"/>
        </w:rPr>
      </w:pPr>
      <w:r w:rsidRPr="00614E54">
        <w:rPr>
          <w:rFonts w:ascii="Lato" w:hAnsi="Lato" w:cs="Arial"/>
          <w:sz w:val="24"/>
          <w:szCs w:val="24"/>
        </w:rPr>
        <w:t>The study deliverables and tentative timeline are structured around a 5-week (35 calendar days) technical period, subject to contract commencement, ethics approval, security and access. The timeline is intentionally sequenced to allow sufficient time for patient-card and routine-data audit, tool refinement, fieldwork, analysis, triangulation, technical review and validation within the five-week period. All stated review periods are calendar days. Ethics or access delays may require adjustment to the critical path; methodological quality and required review steps should not be weakened to preserve the indicative completion date.</w:t>
      </w:r>
    </w:p>
    <w:p w14:paraId="1A26A67F" w14:textId="77777777" w:rsidR="00614E54" w:rsidRPr="00614E54" w:rsidRDefault="00614E54" w:rsidP="00614E54">
      <w:pPr>
        <w:jc w:val="both"/>
        <w:rPr>
          <w:rFonts w:ascii="Lato" w:hAnsi="Lato" w:cs="Arial"/>
          <w:sz w:val="24"/>
          <w:szCs w:val="24"/>
        </w:rPr>
      </w:pPr>
      <w:r w:rsidRPr="00614E54">
        <w:rPr>
          <w:rFonts w:ascii="Lato" w:hAnsi="Lato"/>
          <w:sz w:val="24"/>
          <w:szCs w:val="24"/>
        </w:rPr>
        <w:t>All deliverables must be technically complete, internally quality-assured, reproducible from the submitted data/analysis files, and responsive to consolidated Save the Children feedback. Where ethics or access timelines require adjustment, the study team must submit a revised critical-path schedule for approval.</w:t>
      </w:r>
    </w:p>
    <w:p w14:paraId="57CE2616" w14:textId="77777777" w:rsidR="00614E54" w:rsidRPr="00614E54" w:rsidRDefault="00614E54" w:rsidP="00614E54">
      <w:pPr>
        <w:spacing w:before="120"/>
        <w:rPr>
          <w:rFonts w:ascii="Lato" w:hAnsi="Lato" w:cs="Arial"/>
          <w:b/>
          <w:bCs/>
          <w:sz w:val="24"/>
          <w:szCs w:val="24"/>
          <w:lang w:eastAsia="en-AU"/>
        </w:rPr>
      </w:pPr>
      <w:r w:rsidRPr="00614E54">
        <w:rPr>
          <w:rFonts w:ascii="Lato" w:hAnsi="Lato" w:cs="Arial"/>
          <w:b/>
          <w:bCs/>
          <w:sz w:val="24"/>
          <w:szCs w:val="24"/>
          <w:lang w:eastAsia="en-AU"/>
        </w:rPr>
        <w:t>Deliverables and Tentative Timeline</w:t>
      </w:r>
    </w:p>
    <w:tbl>
      <w:tblPr>
        <w:tblW w:w="9016" w:type="dxa"/>
        <w:tblLayout w:type="fixed"/>
        <w:tblLook w:val="04A0" w:firstRow="1" w:lastRow="0" w:firstColumn="1" w:lastColumn="0" w:noHBand="0" w:noVBand="1"/>
      </w:tblPr>
      <w:tblGrid>
        <w:gridCol w:w="7380"/>
        <w:gridCol w:w="1636"/>
      </w:tblGrid>
      <w:tr w:rsidR="00614E54" w:rsidRPr="00614E54" w14:paraId="326420B8" w14:textId="77777777" w:rsidTr="00E32618">
        <w:tc>
          <w:tcPr>
            <w:tcW w:w="7379" w:type="dxa"/>
            <w:tcBorders>
              <w:top w:val="single" w:sz="4" w:space="0" w:color="000000"/>
              <w:left w:val="single" w:sz="4" w:space="0" w:color="000000"/>
              <w:bottom w:val="single" w:sz="4" w:space="0" w:color="000000"/>
              <w:right w:val="single" w:sz="4" w:space="0" w:color="000000"/>
            </w:tcBorders>
          </w:tcPr>
          <w:p w14:paraId="1A97EC91" w14:textId="77777777" w:rsidR="00614E54" w:rsidRPr="00614E54" w:rsidRDefault="00614E54" w:rsidP="00614E54">
            <w:pPr>
              <w:rPr>
                <w:rFonts w:ascii="Lato" w:hAnsi="Lato" w:cs="Arial"/>
                <w:b/>
                <w:sz w:val="24"/>
                <w:szCs w:val="24"/>
                <w:lang w:eastAsia="en-AU"/>
              </w:rPr>
            </w:pPr>
            <w:r w:rsidRPr="00614E54">
              <w:rPr>
                <w:rFonts w:ascii="Lato" w:hAnsi="Lato" w:cs="Arial"/>
                <w:b/>
                <w:sz w:val="24"/>
                <w:szCs w:val="24"/>
                <w:lang w:eastAsia="en-AU"/>
              </w:rPr>
              <w:lastRenderedPageBreak/>
              <w:t>Deliverable / Milestones</w:t>
            </w:r>
          </w:p>
        </w:tc>
        <w:tc>
          <w:tcPr>
            <w:tcW w:w="1636" w:type="dxa"/>
            <w:tcBorders>
              <w:top w:val="single" w:sz="4" w:space="0" w:color="000000"/>
              <w:left w:val="single" w:sz="4" w:space="0" w:color="000000"/>
              <w:bottom w:val="single" w:sz="4" w:space="0" w:color="000000"/>
              <w:right w:val="single" w:sz="4" w:space="0" w:color="000000"/>
            </w:tcBorders>
          </w:tcPr>
          <w:p w14:paraId="515B3098" w14:textId="77777777" w:rsidR="00614E54" w:rsidRPr="00614E54" w:rsidRDefault="00614E54" w:rsidP="00614E54">
            <w:pPr>
              <w:jc w:val="center"/>
              <w:rPr>
                <w:rFonts w:ascii="Lato" w:hAnsi="Lato" w:cs="Arial"/>
                <w:b/>
                <w:sz w:val="24"/>
                <w:szCs w:val="24"/>
                <w:lang w:eastAsia="en-AU"/>
              </w:rPr>
            </w:pPr>
            <w:r w:rsidRPr="00614E54">
              <w:rPr>
                <w:rFonts w:ascii="Lato" w:hAnsi="Lato" w:cs="Arial"/>
                <w:b/>
                <w:sz w:val="24"/>
                <w:szCs w:val="24"/>
                <w:lang w:eastAsia="en-AU"/>
              </w:rPr>
              <w:t>Timeline</w:t>
            </w:r>
          </w:p>
        </w:tc>
      </w:tr>
      <w:tr w:rsidR="00614E54" w:rsidRPr="00614E54" w14:paraId="741FC345"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46480318" w14:textId="77777777" w:rsidR="00614E54" w:rsidRPr="00614E54" w:rsidRDefault="00614E54" w:rsidP="00614E54">
            <w:pPr>
              <w:rPr>
                <w:rFonts w:ascii="Lato" w:hAnsi="Lato" w:cs="Arial"/>
                <w:color w:val="auto"/>
                <w:sz w:val="24"/>
                <w:szCs w:val="24"/>
                <w:lang w:eastAsia="en-AU"/>
              </w:rPr>
            </w:pPr>
            <w:r w:rsidRPr="00614E54">
              <w:rPr>
                <w:rFonts w:ascii="Lato" w:hAnsi="Lato" w:cs="Arial"/>
                <w:sz w:val="24"/>
                <w:szCs w:val="24"/>
                <w:lang w:eastAsia="en-AU"/>
              </w:rPr>
              <w:t>The study Team is contracted and commences work</w:t>
            </w:r>
          </w:p>
        </w:tc>
        <w:tc>
          <w:tcPr>
            <w:tcW w:w="1636" w:type="dxa"/>
            <w:tcBorders>
              <w:top w:val="single" w:sz="4" w:space="0" w:color="000000"/>
              <w:left w:val="single" w:sz="4" w:space="0" w:color="000000"/>
              <w:bottom w:val="single" w:sz="4" w:space="0" w:color="000000"/>
              <w:right w:val="single" w:sz="4" w:space="0" w:color="000000"/>
            </w:tcBorders>
            <w:vAlign w:val="center"/>
          </w:tcPr>
          <w:p w14:paraId="53AB77CD"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0</w:t>
            </w:r>
          </w:p>
        </w:tc>
      </w:tr>
      <w:tr w:rsidR="00614E54" w:rsidRPr="00614E54" w14:paraId="3230C2FF"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01931911" w14:textId="77777777" w:rsidR="00614E54" w:rsidRPr="00614E54" w:rsidRDefault="00614E54" w:rsidP="00614E54">
            <w:pPr>
              <w:rPr>
                <w:rFonts w:ascii="Lato" w:hAnsi="Lato" w:cs="Arial"/>
                <w:color w:val="auto"/>
                <w:sz w:val="24"/>
                <w:szCs w:val="24"/>
              </w:rPr>
            </w:pPr>
            <w:r w:rsidRPr="00614E54">
              <w:rPr>
                <w:rFonts w:ascii="Lato" w:hAnsi="Lato" w:cs="Arial"/>
                <w:sz w:val="24"/>
                <w:szCs w:val="24"/>
              </w:rPr>
              <w:t>The study Team will facilitate an inception workshop with relevant stakeholders to confirm study purpose, operational definitions, data availability, site/frame verification and decision-use requirements.</w:t>
            </w:r>
          </w:p>
        </w:tc>
        <w:tc>
          <w:tcPr>
            <w:tcW w:w="1636" w:type="dxa"/>
            <w:tcBorders>
              <w:top w:val="single" w:sz="4" w:space="0" w:color="000000"/>
              <w:left w:val="single" w:sz="4" w:space="0" w:color="000000"/>
              <w:bottom w:val="single" w:sz="4" w:space="0" w:color="000000"/>
              <w:right w:val="single" w:sz="4" w:space="0" w:color="000000"/>
            </w:tcBorders>
            <w:vAlign w:val="center"/>
          </w:tcPr>
          <w:p w14:paraId="03356357"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1</w:t>
            </w:r>
          </w:p>
        </w:tc>
      </w:tr>
      <w:tr w:rsidR="00614E54" w:rsidRPr="00614E54" w14:paraId="73388647"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13B56D11" w14:textId="77777777" w:rsidR="00614E54" w:rsidRPr="00614E54" w:rsidRDefault="00614E54" w:rsidP="00614E54">
            <w:pPr>
              <w:rPr>
                <w:rFonts w:ascii="Lato" w:hAnsi="Lato" w:cs="Arial"/>
                <w:color w:val="auto"/>
                <w:sz w:val="24"/>
                <w:szCs w:val="24"/>
                <w:lang w:eastAsia="en-AU"/>
              </w:rPr>
            </w:pPr>
            <w:r w:rsidRPr="00614E54">
              <w:rPr>
                <w:rFonts w:ascii="Lato" w:hAnsi="Lato" w:cs="Arial"/>
                <w:sz w:val="24"/>
                <w:szCs w:val="24"/>
              </w:rPr>
              <w:t>The study Team will submit an inception report in line with the provided template, including:</w:t>
            </w:r>
            <w:r w:rsidRPr="00614E54">
              <w:rPr>
                <w:rFonts w:ascii="Lato" w:hAnsi="Lato" w:cs="Arial"/>
                <w:sz w:val="24"/>
                <w:szCs w:val="24"/>
              </w:rPr>
              <w:br/>
              <w:t>• Study objectives, scope and key study questions</w:t>
            </w:r>
            <w:r w:rsidRPr="00614E54">
              <w:rPr>
                <w:rFonts w:ascii="Lato" w:hAnsi="Lato" w:cs="Arial"/>
                <w:sz w:val="24"/>
                <w:szCs w:val="24"/>
              </w:rPr>
              <w:br/>
              <w:t>• Learning-question/evidence-gap matrix linking each question to indicators, data sources, denominators, sampling and analysis</w:t>
            </w:r>
            <w:r w:rsidRPr="00614E54">
              <w:rPr>
                <w:rFonts w:ascii="Lato" w:hAnsi="Lato" w:cs="Arial"/>
                <w:sz w:val="24"/>
                <w:szCs w:val="24"/>
              </w:rPr>
              <w:br/>
              <w:t>• Patient-card/routine-data availability and quality audit, including completeness, linkage feasibility and WHZ derivation plan</w:t>
            </w:r>
            <w:r w:rsidRPr="00614E54">
              <w:rPr>
                <w:rFonts w:ascii="Lato" w:hAnsi="Lato" w:cs="Arial"/>
                <w:sz w:val="24"/>
                <w:szCs w:val="24"/>
              </w:rPr>
              <w:br/>
              <w:t>• Detailed design and study matrix</w:t>
            </w:r>
            <w:r w:rsidRPr="00614E54">
              <w:rPr>
                <w:rFonts w:ascii="Lato" w:hAnsi="Lato" w:cs="Arial"/>
                <w:sz w:val="24"/>
                <w:szCs w:val="24"/>
              </w:rPr>
              <w:br/>
              <w:t>• Separate sampling frames and sample-size calculations for record review, caregiver survey and qualitative inquiry, including saturation criteria</w:t>
            </w:r>
            <w:r w:rsidRPr="00614E54">
              <w:rPr>
                <w:rFonts w:ascii="Lato" w:hAnsi="Lato" w:cs="Arial"/>
                <w:sz w:val="24"/>
                <w:szCs w:val="24"/>
              </w:rPr>
              <w:br/>
              <w:t>• TSFP functionality classification and service-interruption/barrier chronology plan</w:t>
            </w:r>
            <w:r w:rsidRPr="00614E54">
              <w:rPr>
                <w:rFonts w:ascii="Lato" w:hAnsi="Lato" w:cs="Arial"/>
                <w:sz w:val="24"/>
                <w:szCs w:val="24"/>
              </w:rPr>
              <w:br/>
              <w:t>• Data sources, tools and record-linkage plan</w:t>
            </w:r>
            <w:r w:rsidRPr="00614E54">
              <w:rPr>
                <w:rFonts w:ascii="Lato" w:hAnsi="Lato" w:cs="Arial"/>
                <w:sz w:val="24"/>
                <w:szCs w:val="24"/>
              </w:rPr>
              <w:br/>
              <w:t>• Statistical and qualitative analysis plan, including primary outcomes/exposures and comparator feasibility criteria</w:t>
            </w:r>
            <w:r w:rsidRPr="00614E54">
              <w:rPr>
                <w:rFonts w:ascii="Lato" w:hAnsi="Lato" w:cs="Arial"/>
                <w:sz w:val="24"/>
                <w:szCs w:val="24"/>
              </w:rPr>
              <w:br/>
              <w:t>• Local production/preparation assessment plan where applicable</w:t>
            </w:r>
            <w:r w:rsidRPr="00614E54">
              <w:rPr>
                <w:rFonts w:ascii="Lato" w:hAnsi="Lato" w:cs="Arial"/>
                <w:sz w:val="24"/>
                <w:szCs w:val="24"/>
              </w:rPr>
              <w:br/>
              <w:t>• Data-quality, missing-data and sensitivity-analysis plan</w:t>
            </w:r>
            <w:r w:rsidRPr="00614E54">
              <w:rPr>
                <w:rFonts w:ascii="Lato" w:hAnsi="Lato" w:cs="Arial"/>
                <w:sz w:val="24"/>
                <w:szCs w:val="24"/>
              </w:rPr>
              <w:br/>
              <w:t>• Risks, limitations and mitigation plan</w:t>
            </w:r>
            <w:r w:rsidRPr="00614E54">
              <w:rPr>
                <w:rFonts w:ascii="Lato" w:hAnsi="Lato" w:cs="Arial"/>
                <w:sz w:val="24"/>
                <w:szCs w:val="24"/>
              </w:rPr>
              <w:br/>
              <w:t>• Ethical safeguards, consent and referral procedures</w:t>
            </w:r>
            <w:r w:rsidRPr="00614E54">
              <w:rPr>
                <w:rFonts w:ascii="Lato" w:hAnsi="Lato" w:cs="Arial"/>
                <w:sz w:val="24"/>
                <w:szCs w:val="24"/>
              </w:rPr>
              <w:br/>
              <w:t>• Stakeholder/community engagement and dissemination plan</w:t>
            </w:r>
            <w:r w:rsidRPr="00614E54">
              <w:rPr>
                <w:rFonts w:ascii="Lato" w:hAnsi="Lato" w:cs="Arial"/>
                <w:sz w:val="24"/>
                <w:szCs w:val="24"/>
              </w:rPr>
              <w:br/>
              <w:t>• Responsibilities, fieldwork plan, deliverables, resources and timeline</w:t>
            </w:r>
            <w:r w:rsidRPr="00614E54">
              <w:rPr>
                <w:rFonts w:ascii="Lato" w:hAnsi="Lato" w:cs="Arial"/>
                <w:sz w:val="24"/>
                <w:szCs w:val="24"/>
              </w:rPr>
              <w:br/>
              <w:t>• Draft data collection tools</w:t>
            </w:r>
          </w:p>
        </w:tc>
        <w:tc>
          <w:tcPr>
            <w:tcW w:w="1636" w:type="dxa"/>
            <w:tcBorders>
              <w:top w:val="single" w:sz="4" w:space="0" w:color="000000"/>
              <w:left w:val="single" w:sz="4" w:space="0" w:color="000000"/>
              <w:bottom w:val="single" w:sz="4" w:space="0" w:color="000000"/>
              <w:right w:val="single" w:sz="4" w:space="0" w:color="000000"/>
            </w:tcBorders>
            <w:vAlign w:val="center"/>
          </w:tcPr>
          <w:p w14:paraId="3225E7C0" w14:textId="77777777" w:rsidR="00614E54" w:rsidRPr="00614E54" w:rsidRDefault="00614E54" w:rsidP="00614E54">
            <w:pPr>
              <w:rPr>
                <w:rFonts w:ascii="Lato" w:hAnsi="Lato" w:cs="Arial"/>
                <w:sz w:val="24"/>
                <w:szCs w:val="24"/>
                <w:lang w:eastAsia="en-AU"/>
              </w:rPr>
            </w:pPr>
            <w:r w:rsidRPr="00614E54">
              <w:rPr>
                <w:rFonts w:ascii="Lato" w:hAnsi="Lato"/>
                <w:sz w:val="24"/>
                <w:szCs w:val="24"/>
              </w:rPr>
              <w:t>End of Week 1</w:t>
            </w:r>
          </w:p>
        </w:tc>
      </w:tr>
      <w:tr w:rsidR="00614E54" w:rsidRPr="00614E54" w14:paraId="136334B3"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5A844BF6" w14:textId="77777777" w:rsidR="00614E54" w:rsidRPr="00614E54" w:rsidRDefault="00614E54" w:rsidP="00614E54">
            <w:pPr>
              <w:spacing w:after="0"/>
              <w:rPr>
                <w:rFonts w:ascii="Lato" w:hAnsi="Lato" w:cs="Arial"/>
                <w:b/>
                <w:color w:val="auto"/>
                <w:sz w:val="24"/>
                <w:szCs w:val="24"/>
              </w:rPr>
            </w:pPr>
            <w:r w:rsidRPr="00614E54">
              <w:rPr>
                <w:rFonts w:ascii="Lato" w:hAnsi="Lato" w:cs="Arial"/>
                <w:b/>
                <w:sz w:val="24"/>
                <w:szCs w:val="24"/>
              </w:rPr>
              <w:t>Ethics submission and approval, where required, including the approved protocol, recruitment procedures, participant information/consent materials, data-security plan and safeguarding/referral procedures. Primary data collection may begin only after all required approvals are in place.</w:t>
            </w:r>
          </w:p>
        </w:tc>
        <w:tc>
          <w:tcPr>
            <w:tcW w:w="1636" w:type="dxa"/>
            <w:tcBorders>
              <w:top w:val="single" w:sz="4" w:space="0" w:color="000000"/>
              <w:left w:val="single" w:sz="4" w:space="0" w:color="000000"/>
              <w:bottom w:val="single" w:sz="4" w:space="0" w:color="000000"/>
              <w:right w:val="single" w:sz="4" w:space="0" w:color="000000"/>
            </w:tcBorders>
            <w:vAlign w:val="center"/>
          </w:tcPr>
          <w:p w14:paraId="20630FD5" w14:textId="77777777" w:rsidR="00614E54" w:rsidRPr="00614E54" w:rsidRDefault="00614E54" w:rsidP="00614E54">
            <w:pPr>
              <w:rPr>
                <w:rFonts w:ascii="Lato" w:hAnsi="Lato" w:cs="Arial"/>
                <w:sz w:val="24"/>
                <w:szCs w:val="24"/>
                <w:lang w:eastAsia="en-AU"/>
              </w:rPr>
            </w:pPr>
            <w:r w:rsidRPr="00614E54">
              <w:rPr>
                <w:rFonts w:ascii="Lato" w:hAnsi="Lato"/>
                <w:sz w:val="24"/>
                <w:szCs w:val="24"/>
              </w:rPr>
              <w:t>Submit by Week 1; approval before fieldwork</w:t>
            </w:r>
          </w:p>
        </w:tc>
      </w:tr>
      <w:tr w:rsidR="00614E54" w:rsidRPr="00614E54" w14:paraId="162E5B2B" w14:textId="77777777" w:rsidTr="00E32618">
        <w:trPr>
          <w:trHeight w:val="706"/>
        </w:trPr>
        <w:tc>
          <w:tcPr>
            <w:tcW w:w="7379" w:type="dxa"/>
            <w:tcBorders>
              <w:top w:val="single" w:sz="4" w:space="0" w:color="000000"/>
              <w:left w:val="single" w:sz="4" w:space="0" w:color="000000"/>
              <w:bottom w:val="single" w:sz="4" w:space="0" w:color="000000"/>
              <w:right w:val="single" w:sz="4" w:space="0" w:color="000000"/>
            </w:tcBorders>
            <w:vAlign w:val="center"/>
          </w:tcPr>
          <w:p w14:paraId="5FE97418" w14:textId="77777777" w:rsidR="00614E54" w:rsidRPr="00614E54" w:rsidRDefault="00614E54" w:rsidP="00614E54">
            <w:pPr>
              <w:spacing w:after="0"/>
              <w:rPr>
                <w:rFonts w:ascii="Lato" w:hAnsi="Lato" w:cs="Arial"/>
                <w:b/>
                <w:sz w:val="24"/>
                <w:szCs w:val="24"/>
              </w:rPr>
            </w:pPr>
            <w:r w:rsidRPr="00614E54">
              <w:rPr>
                <w:rFonts w:ascii="Lato" w:hAnsi="Lato" w:cs="Arial"/>
                <w:b/>
                <w:sz w:val="24"/>
                <w:szCs w:val="24"/>
              </w:rPr>
              <w:t>Final data collection tools in the study language(s), including patient-card/record abstraction forms, electronic caregiver survey, service/supply and TSFP-functionality audit, barrier/interruption chronology, provider assessment, qualitative guides, costing template, local production/preparation assessment where applicable, codebook and field manual. Anthropometry forms should only be included if a justified validation/current-status component is approved.</w:t>
            </w:r>
          </w:p>
        </w:tc>
        <w:tc>
          <w:tcPr>
            <w:tcW w:w="1636" w:type="dxa"/>
            <w:tcBorders>
              <w:top w:val="single" w:sz="4" w:space="0" w:color="000000"/>
              <w:left w:val="single" w:sz="4" w:space="0" w:color="000000"/>
              <w:bottom w:val="single" w:sz="4" w:space="0" w:color="000000"/>
              <w:right w:val="single" w:sz="4" w:space="0" w:color="000000"/>
            </w:tcBorders>
            <w:vAlign w:val="center"/>
          </w:tcPr>
          <w:p w14:paraId="1A1797FC"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2 / before field deployment</w:t>
            </w:r>
          </w:p>
        </w:tc>
      </w:tr>
      <w:tr w:rsidR="00614E54" w:rsidRPr="00614E54" w14:paraId="6A79BE74" w14:textId="77777777" w:rsidTr="00E32618">
        <w:trPr>
          <w:trHeight w:val="1978"/>
        </w:trPr>
        <w:tc>
          <w:tcPr>
            <w:tcW w:w="7379" w:type="dxa"/>
            <w:tcBorders>
              <w:top w:val="single" w:sz="4" w:space="0" w:color="000000"/>
              <w:left w:val="single" w:sz="4" w:space="0" w:color="000000"/>
              <w:bottom w:val="single" w:sz="4" w:space="0" w:color="000000"/>
              <w:right w:val="single" w:sz="4" w:space="0" w:color="000000"/>
            </w:tcBorders>
            <w:vAlign w:val="center"/>
          </w:tcPr>
          <w:p w14:paraId="0B6C3214" w14:textId="77777777" w:rsidR="00614E54" w:rsidRPr="00614E54" w:rsidRDefault="00614E54" w:rsidP="00614E54">
            <w:pPr>
              <w:rPr>
                <w:rFonts w:ascii="Lato" w:hAnsi="Lato" w:cs="Arial"/>
                <w:color w:val="auto"/>
                <w:sz w:val="24"/>
                <w:szCs w:val="24"/>
                <w:lang w:eastAsia="en-AU"/>
              </w:rPr>
            </w:pPr>
            <w:r w:rsidRPr="00614E54">
              <w:rPr>
                <w:rFonts w:ascii="Lato" w:hAnsi="Lato" w:cs="Arial"/>
                <w:sz w:val="24"/>
                <w:szCs w:val="24"/>
                <w:lang w:eastAsia="en-AU"/>
              </w:rPr>
              <w:lastRenderedPageBreak/>
              <w:t>Interim Report / PowerPoint Presentation summarising fieldwork completion, data quality, sample achieved, emerging implementation issues, any approved design refinements and preliminary descriptive findings requiring immediate programme attention.</w:t>
            </w:r>
          </w:p>
        </w:tc>
        <w:tc>
          <w:tcPr>
            <w:tcW w:w="1636" w:type="dxa"/>
            <w:tcBorders>
              <w:top w:val="single" w:sz="4" w:space="0" w:color="000000"/>
              <w:left w:val="single" w:sz="4" w:space="0" w:color="000000"/>
              <w:bottom w:val="single" w:sz="4" w:space="0" w:color="000000"/>
              <w:right w:val="single" w:sz="4" w:space="0" w:color="000000"/>
            </w:tcBorders>
            <w:vAlign w:val="center"/>
          </w:tcPr>
          <w:p w14:paraId="50C9D83F"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3</w:t>
            </w:r>
          </w:p>
        </w:tc>
      </w:tr>
      <w:tr w:rsidR="00614E54" w:rsidRPr="00614E54" w14:paraId="05FF7DAE"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5B8C529D" w14:textId="77777777" w:rsidR="00614E54" w:rsidRPr="00614E54" w:rsidRDefault="00614E54" w:rsidP="00614E54">
            <w:pPr>
              <w:spacing w:after="0"/>
              <w:rPr>
                <w:rFonts w:ascii="Lato" w:hAnsi="Lato" w:cs="Arial"/>
                <w:sz w:val="24"/>
                <w:szCs w:val="24"/>
              </w:rPr>
            </w:pPr>
            <w:r w:rsidRPr="00614E54">
              <w:rPr>
                <w:rFonts w:ascii="Lato" w:hAnsi="Lato" w:cs="Arial"/>
                <w:sz w:val="24"/>
                <w:szCs w:val="24"/>
              </w:rPr>
              <w:t>A Draft Study Report using the Save the Children Final Study Report template, including executive summary; background and context; scope; methodology and study matrix; sample and data-quality profile; findings aligned to each key study question; quantitative and qualitative triangulation; cost analysis; limitations; conclusions; actionable recommendations; and required annexes.</w:t>
            </w:r>
          </w:p>
        </w:tc>
        <w:tc>
          <w:tcPr>
            <w:tcW w:w="1636" w:type="dxa"/>
            <w:tcBorders>
              <w:top w:val="single" w:sz="4" w:space="0" w:color="000000"/>
              <w:left w:val="single" w:sz="4" w:space="0" w:color="000000"/>
              <w:bottom w:val="single" w:sz="4" w:space="0" w:color="000000"/>
              <w:right w:val="single" w:sz="4" w:space="0" w:color="000000"/>
            </w:tcBorders>
            <w:vAlign w:val="center"/>
          </w:tcPr>
          <w:p w14:paraId="314A2F25"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4</w:t>
            </w:r>
          </w:p>
        </w:tc>
      </w:tr>
      <w:tr w:rsidR="00614E54" w:rsidRPr="00614E54" w14:paraId="7AF1639A"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35852A85" w14:textId="77777777" w:rsidR="00614E54" w:rsidRPr="00614E54" w:rsidRDefault="00614E54" w:rsidP="00614E54">
            <w:pPr>
              <w:spacing w:before="120"/>
              <w:rPr>
                <w:rFonts w:ascii="Lato" w:hAnsi="Lato" w:cs="Arial"/>
                <w:sz w:val="24"/>
                <w:szCs w:val="24"/>
              </w:rPr>
            </w:pPr>
            <w:r w:rsidRPr="00614E54">
              <w:rPr>
                <w:rFonts w:ascii="Lato" w:hAnsi="Lato" w:cs="Arial"/>
                <w:b/>
                <w:sz w:val="24"/>
                <w:szCs w:val="24"/>
              </w:rPr>
              <w:t>Data and analyses, including encrypted/de-identified raw and cleaned datasets, linkage documentation, data dictionary/codebook, statistical syntax/code, qualitative coding framework, costing workbook and all reproducible analysis outputs.</w:t>
            </w:r>
          </w:p>
        </w:tc>
        <w:tc>
          <w:tcPr>
            <w:tcW w:w="1636" w:type="dxa"/>
            <w:tcBorders>
              <w:top w:val="single" w:sz="4" w:space="0" w:color="000000"/>
              <w:left w:val="single" w:sz="4" w:space="0" w:color="000000"/>
              <w:bottom w:val="single" w:sz="4" w:space="0" w:color="000000"/>
              <w:right w:val="single" w:sz="4" w:space="0" w:color="000000"/>
            </w:tcBorders>
            <w:vAlign w:val="center"/>
          </w:tcPr>
          <w:p w14:paraId="50BCED88"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4</w:t>
            </w:r>
          </w:p>
        </w:tc>
      </w:tr>
      <w:tr w:rsidR="00614E54" w:rsidRPr="00614E54" w14:paraId="4EC13245"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19870C0D" w14:textId="77777777" w:rsidR="00614E54" w:rsidRPr="00614E54" w:rsidRDefault="00614E54" w:rsidP="00614E54">
            <w:pPr>
              <w:spacing w:before="120"/>
              <w:rPr>
                <w:rFonts w:ascii="Lato" w:hAnsi="Lato" w:cs="Arial"/>
                <w:sz w:val="24"/>
                <w:szCs w:val="24"/>
              </w:rPr>
            </w:pPr>
            <w:r w:rsidRPr="00614E54">
              <w:rPr>
                <w:rFonts w:ascii="Lato" w:hAnsi="Lato" w:cs="Arial"/>
                <w:b/>
                <w:sz w:val="24"/>
                <w:szCs w:val="24"/>
              </w:rPr>
              <w:t>Final Study Report incorporating consolidated feedback and validation findings, with a response matrix documenting how comments were addressed.</w:t>
            </w:r>
          </w:p>
        </w:tc>
        <w:tc>
          <w:tcPr>
            <w:tcW w:w="1636" w:type="dxa"/>
            <w:tcBorders>
              <w:top w:val="single" w:sz="4" w:space="0" w:color="000000"/>
              <w:left w:val="single" w:sz="4" w:space="0" w:color="000000"/>
              <w:bottom w:val="single" w:sz="4" w:space="0" w:color="000000"/>
              <w:right w:val="single" w:sz="4" w:space="0" w:color="000000"/>
            </w:tcBorders>
            <w:vAlign w:val="center"/>
          </w:tcPr>
          <w:p w14:paraId="6CE600FF"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5</w:t>
            </w:r>
          </w:p>
        </w:tc>
      </w:tr>
      <w:tr w:rsidR="00614E54" w:rsidRPr="00614E54" w14:paraId="2D5DFD37" w14:textId="77777777" w:rsidTr="00E32618">
        <w:tc>
          <w:tcPr>
            <w:tcW w:w="7379" w:type="dxa"/>
            <w:tcBorders>
              <w:top w:val="single" w:sz="4" w:space="0" w:color="000000"/>
              <w:left w:val="single" w:sz="4" w:space="0" w:color="000000"/>
              <w:bottom w:val="single" w:sz="4" w:space="0" w:color="000000"/>
              <w:right w:val="single" w:sz="4" w:space="0" w:color="000000"/>
            </w:tcBorders>
            <w:vAlign w:val="center"/>
          </w:tcPr>
          <w:p w14:paraId="64B24FD0" w14:textId="77777777" w:rsidR="00614E54" w:rsidRPr="00614E54" w:rsidRDefault="00614E54" w:rsidP="00614E54">
            <w:pPr>
              <w:spacing w:before="120"/>
              <w:rPr>
                <w:rFonts w:ascii="Lato" w:hAnsi="Lato" w:cs="Arial"/>
                <w:b/>
                <w:sz w:val="24"/>
                <w:szCs w:val="24"/>
              </w:rPr>
            </w:pPr>
            <w:r w:rsidRPr="00614E54">
              <w:rPr>
                <w:rFonts w:ascii="Lato" w:hAnsi="Lato" w:cs="Arial"/>
                <w:b/>
                <w:sz w:val="24"/>
                <w:szCs w:val="24"/>
              </w:rPr>
              <w:t>Knowledge translation materials:</w:t>
            </w:r>
            <w:r w:rsidRPr="00614E54">
              <w:rPr>
                <w:rFonts w:ascii="Lato" w:hAnsi="Lato" w:cs="Arial"/>
                <w:b/>
                <w:sz w:val="24"/>
                <w:szCs w:val="24"/>
              </w:rPr>
              <w:br/>
              <w:t>• PowerPoint presentation of study findings</w:t>
            </w:r>
            <w:r w:rsidRPr="00614E54">
              <w:rPr>
                <w:rFonts w:ascii="Lato" w:hAnsi="Lato" w:cs="Arial"/>
                <w:b/>
                <w:sz w:val="24"/>
                <w:szCs w:val="24"/>
              </w:rPr>
              <w:br/>
              <w:t>• 2–4 page Evaluation Brief</w:t>
            </w:r>
            <w:r w:rsidRPr="00614E54">
              <w:rPr>
                <w:rFonts w:ascii="Lato" w:hAnsi="Lato" w:cs="Arial"/>
                <w:b/>
                <w:sz w:val="24"/>
                <w:szCs w:val="24"/>
              </w:rPr>
              <w:br/>
              <w:t>• Publication-ready technical manuscript or analytical paper outline, where approved and supported by the evidence</w:t>
            </w:r>
            <w:r w:rsidRPr="00614E54">
              <w:rPr>
                <w:rFonts w:ascii="Lato" w:hAnsi="Lato" w:cs="Arial"/>
                <w:b/>
                <w:sz w:val="24"/>
                <w:szCs w:val="24"/>
              </w:rPr>
              <w:br/>
              <w:t>• Accessible summary for community feedback/dissemination</w:t>
            </w:r>
          </w:p>
        </w:tc>
        <w:tc>
          <w:tcPr>
            <w:tcW w:w="1636" w:type="dxa"/>
            <w:tcBorders>
              <w:top w:val="single" w:sz="4" w:space="0" w:color="000000"/>
              <w:left w:val="single" w:sz="4" w:space="0" w:color="000000"/>
              <w:bottom w:val="single" w:sz="4" w:space="0" w:color="000000"/>
              <w:right w:val="single" w:sz="4" w:space="0" w:color="000000"/>
            </w:tcBorders>
            <w:vAlign w:val="center"/>
          </w:tcPr>
          <w:p w14:paraId="27ACDB18" w14:textId="77777777" w:rsidR="00614E54" w:rsidRPr="00614E54" w:rsidRDefault="00614E54" w:rsidP="00614E54">
            <w:pPr>
              <w:rPr>
                <w:rFonts w:ascii="Lato" w:hAnsi="Lato" w:cs="Arial"/>
                <w:sz w:val="24"/>
                <w:szCs w:val="24"/>
                <w:lang w:eastAsia="en-AU"/>
              </w:rPr>
            </w:pPr>
            <w:r w:rsidRPr="00614E54">
              <w:rPr>
                <w:rFonts w:ascii="Lato" w:hAnsi="Lato"/>
                <w:sz w:val="24"/>
                <w:szCs w:val="24"/>
              </w:rPr>
              <w:t>Week 5</w:t>
            </w:r>
          </w:p>
        </w:tc>
      </w:tr>
    </w:tbl>
    <w:p w14:paraId="3022885E" w14:textId="77777777" w:rsidR="00746AF1" w:rsidRDefault="00746AF1" w:rsidP="00614E54">
      <w:pPr>
        <w:spacing w:before="120"/>
        <w:jc w:val="both"/>
        <w:rPr>
          <w:rFonts w:ascii="Lato" w:hAnsi="Lato" w:cs="Arial"/>
          <w:sz w:val="24"/>
          <w:szCs w:val="24"/>
        </w:rPr>
      </w:pPr>
    </w:p>
    <w:p w14:paraId="09C7E420" w14:textId="14C3A1CA" w:rsidR="00614E54" w:rsidRPr="00614E54" w:rsidRDefault="00614E54" w:rsidP="00614E54">
      <w:pPr>
        <w:spacing w:before="120"/>
        <w:jc w:val="both"/>
        <w:rPr>
          <w:rFonts w:ascii="Lato" w:hAnsi="Lato" w:cs="Arial"/>
          <w:sz w:val="24"/>
          <w:szCs w:val="24"/>
        </w:rPr>
      </w:pPr>
      <w:r w:rsidRPr="00614E54">
        <w:rPr>
          <w:rFonts w:ascii="Lato" w:hAnsi="Lato" w:cs="Arial"/>
          <w:sz w:val="24"/>
          <w:szCs w:val="24"/>
        </w:rPr>
        <w:t>*All reports are to use the Save the Children Final Study Report template unless another format is formally approved. The study team should also follow the Save the Children technical writing guide.</w:t>
      </w:r>
    </w:p>
    <w:p w14:paraId="54875B7E" w14:textId="4BB14D5E" w:rsidR="00614E54" w:rsidRPr="00614E54" w:rsidRDefault="00614E54" w:rsidP="00614E54">
      <w:pPr>
        <w:spacing w:before="120"/>
        <w:jc w:val="both"/>
        <w:rPr>
          <w:rFonts w:ascii="Lato" w:hAnsi="Lato" w:cs="Arial"/>
          <w:sz w:val="24"/>
          <w:szCs w:val="24"/>
        </w:rPr>
      </w:pPr>
      <w:r w:rsidRPr="00614E54">
        <w:rPr>
          <w:rFonts w:ascii="Lato" w:hAnsi="Lato" w:cs="Arial"/>
          <w:sz w:val="24"/>
          <w:szCs w:val="24"/>
        </w:rPr>
        <w:t>**The Evaluation Brief will be a 2–</w:t>
      </w:r>
      <w:r w:rsidR="00484E24" w:rsidRPr="00614E54">
        <w:rPr>
          <w:rFonts w:ascii="Lato" w:hAnsi="Lato" w:cs="Arial"/>
          <w:sz w:val="24"/>
          <w:szCs w:val="24"/>
        </w:rPr>
        <w:t>4-page</w:t>
      </w:r>
      <w:r w:rsidRPr="00614E54">
        <w:rPr>
          <w:rFonts w:ascii="Lato" w:hAnsi="Lato" w:cs="Arial"/>
          <w:sz w:val="24"/>
          <w:szCs w:val="24"/>
        </w:rPr>
        <w:t xml:space="preserve"> summary of the full report using the Save the Children template.</w:t>
      </w:r>
    </w:p>
    <w:p w14:paraId="67CDCFA1" w14:textId="5E8E50EE" w:rsidR="00614E54" w:rsidRPr="00614E54" w:rsidRDefault="00614E54" w:rsidP="00614E54">
      <w:pPr>
        <w:spacing w:before="120"/>
        <w:jc w:val="both"/>
        <w:rPr>
          <w:rFonts w:ascii="Lato" w:hAnsi="Lato" w:cs="Arial"/>
          <w:sz w:val="24"/>
          <w:szCs w:val="24"/>
        </w:rPr>
      </w:pPr>
      <w:r w:rsidRPr="00614E54">
        <w:rPr>
          <w:rFonts w:ascii="Lato" w:hAnsi="Lato" w:cs="Arial"/>
          <w:sz w:val="24"/>
          <w:szCs w:val="24"/>
        </w:rPr>
        <w:t>All documents are to be produced in MS Word format and provided electronically to the Save the Children Study Manager. Copies of all PowerPoint presentations used to facilitate briefings must also be provided in editable digital format. Data, syntax/code, codebooks and analysis outputs must be delivered in agreed secure formats.</w:t>
      </w:r>
    </w:p>
    <w:p w14:paraId="5DA3520A" w14:textId="77777777" w:rsidR="00614E54" w:rsidRPr="00614E54" w:rsidRDefault="00614E54" w:rsidP="00614E54">
      <w:pPr>
        <w:rPr>
          <w:rFonts w:ascii="Lato" w:hAnsi="Lato" w:cstheme="minorHAnsi"/>
          <w:color w:val="0070C0"/>
          <w:sz w:val="24"/>
          <w:szCs w:val="24"/>
        </w:rPr>
      </w:pPr>
    </w:p>
    <w:p w14:paraId="5D8F41D1" w14:textId="1DD0A572" w:rsidR="00614E54" w:rsidRPr="00484E24" w:rsidRDefault="00614E54" w:rsidP="00484E24">
      <w:pPr>
        <w:pStyle w:val="Heading1"/>
        <w:rPr>
          <w:rFonts w:ascii="Lato" w:hAnsi="Lato"/>
          <w:b/>
          <w:caps w:val="0"/>
          <w:sz w:val="24"/>
          <w:szCs w:val="24"/>
        </w:rPr>
      </w:pPr>
      <w:bookmarkStart w:id="14" w:name="_Toc61945694"/>
      <w:r w:rsidRPr="00484E24">
        <w:rPr>
          <w:rFonts w:ascii="Lato" w:hAnsi="Lato"/>
          <w:b/>
          <w:caps w:val="0"/>
          <w:sz w:val="24"/>
          <w:szCs w:val="24"/>
        </w:rPr>
        <w:t>Reporting and Governance</w:t>
      </w:r>
      <w:bookmarkEnd w:id="14"/>
      <w:r w:rsidRPr="00484E24">
        <w:rPr>
          <w:rFonts w:ascii="Lato" w:hAnsi="Lato"/>
          <w:b/>
          <w:caps w:val="0"/>
          <w:sz w:val="24"/>
          <w:szCs w:val="24"/>
        </w:rPr>
        <w:t xml:space="preserve"> </w:t>
      </w:r>
    </w:p>
    <w:p w14:paraId="5BDCD640" w14:textId="4D9F977B" w:rsidR="00614E54" w:rsidRPr="00614E54" w:rsidRDefault="00614E54" w:rsidP="00614E54">
      <w:pPr>
        <w:jc w:val="both"/>
        <w:rPr>
          <w:rFonts w:ascii="Lato" w:hAnsi="Lato"/>
          <w:color w:val="0070C0"/>
          <w:sz w:val="24"/>
          <w:szCs w:val="24"/>
        </w:rPr>
      </w:pPr>
      <w:r w:rsidRPr="00614E54">
        <w:rPr>
          <w:rFonts w:ascii="Lato" w:hAnsi="Lato"/>
          <w:sz w:val="24"/>
          <w:szCs w:val="24"/>
        </w:rPr>
        <w:t xml:space="preserve">The study will be commissioned and managed by Save the Children. The Save the Children Study Manager will serve as the principal contractual and technical focal point, </w:t>
      </w:r>
      <w:r w:rsidRPr="00614E54">
        <w:rPr>
          <w:rFonts w:ascii="Lato" w:hAnsi="Lato"/>
          <w:sz w:val="24"/>
          <w:szCs w:val="24"/>
        </w:rPr>
        <w:lastRenderedPageBreak/>
        <w:t>coordinate consolidated review and approve deliverables in accordance with internal procedures. An independent study team will remain responsible for methodological decisions, data integrity, transparent reporting of limitations and evidence-based conclusions.</w:t>
      </w:r>
    </w:p>
    <w:p w14:paraId="42144199" w14:textId="77777777" w:rsidR="00614E54" w:rsidRPr="00614E54" w:rsidRDefault="00614E54" w:rsidP="00614E54">
      <w:pPr>
        <w:jc w:val="both"/>
        <w:rPr>
          <w:rFonts w:ascii="Lato" w:hAnsi="Lato"/>
          <w:color w:val="0070C0"/>
          <w:sz w:val="24"/>
          <w:szCs w:val="24"/>
        </w:rPr>
      </w:pPr>
      <w:r w:rsidRPr="00614E54">
        <w:rPr>
          <w:rFonts w:ascii="Lato" w:hAnsi="Lato"/>
          <w:sz w:val="24"/>
          <w:szCs w:val="24"/>
        </w:rPr>
        <w:t>A Study Working Group will provide technical oversight and facilitate access to programme information. The core Working Group will be housed within Save the Children Sudan and should include, at minimum, relevant Nutrition, Health, MEAL/Evidence, programme/field and operational representatives, with safeguarding/data protection, supply/logistics and finance/costing expertise engaged as required. Broader Save the Children technical advisers may be invited in an advisory capacity where specialist input is needed. Implementing partners, government counterparts and community representatives should participate in inception, technical consultation and validation at defined points, but are not required to be standing members of the core governance group unless specifically agreed. The Working Group will review the inception protocol, tools, emerging quality issues, draft findings and recommendations without compromising the independence of the study team.</w:t>
      </w:r>
    </w:p>
    <w:p w14:paraId="1E255716" w14:textId="77777777" w:rsidR="00614E54" w:rsidRPr="00614E54" w:rsidRDefault="00614E54" w:rsidP="00614E54">
      <w:pPr>
        <w:jc w:val="both"/>
        <w:rPr>
          <w:rFonts w:ascii="Lato" w:hAnsi="Lato" w:cstheme="minorHAnsi"/>
          <w:color w:val="0070C0"/>
          <w:sz w:val="24"/>
          <w:szCs w:val="24"/>
        </w:rPr>
      </w:pPr>
      <w:r w:rsidRPr="00614E54">
        <w:rPr>
          <w:rFonts w:ascii="Lato" w:hAnsi="Lato"/>
          <w:sz w:val="24"/>
          <w:szCs w:val="24"/>
        </w:rPr>
        <w:t>The Study Team Lead is to provide reporting against the approved project plan. The following regular reporting and quality-review processes will be used:</w:t>
      </w:r>
    </w:p>
    <w:p w14:paraId="198AABEE" w14:textId="77777777" w:rsidR="00614E54" w:rsidRPr="00614E54" w:rsidRDefault="00614E54" w:rsidP="00614E54">
      <w:pPr>
        <w:numPr>
          <w:ilvl w:val="0"/>
          <w:numId w:val="19"/>
        </w:numPr>
        <w:spacing w:after="60" w:line="240" w:lineRule="auto"/>
        <w:jc w:val="both"/>
        <w:rPr>
          <w:rFonts w:ascii="Lato" w:hAnsi="Lato"/>
          <w:sz w:val="24"/>
          <w:szCs w:val="24"/>
        </w:rPr>
      </w:pPr>
      <w:r w:rsidRPr="00614E54">
        <w:rPr>
          <w:rFonts w:ascii="Lato" w:hAnsi="Lato"/>
          <w:sz w:val="24"/>
          <w:szCs w:val="24"/>
        </w:rPr>
        <w:t>Verbal progress reporting each week to the Save the Children Study Project Manager during inception, fieldwork and active analysis, with immediate escalation of security, ethics, safeguarding or material data-quality concerns.</w:t>
      </w:r>
    </w:p>
    <w:p w14:paraId="77F28121" w14:textId="77777777" w:rsidR="00614E54" w:rsidRPr="00614E54" w:rsidRDefault="00614E54" w:rsidP="00614E54">
      <w:pPr>
        <w:numPr>
          <w:ilvl w:val="0"/>
          <w:numId w:val="19"/>
        </w:numPr>
        <w:spacing w:after="60" w:line="240" w:lineRule="auto"/>
        <w:jc w:val="both"/>
        <w:rPr>
          <w:rFonts w:ascii="Lato" w:hAnsi="Lato"/>
          <w:sz w:val="24"/>
          <w:szCs w:val="24"/>
        </w:rPr>
      </w:pPr>
      <w:r w:rsidRPr="00614E54">
        <w:rPr>
          <w:rFonts w:ascii="Lato" w:hAnsi="Lato"/>
          <w:sz w:val="24"/>
          <w:szCs w:val="24"/>
        </w:rPr>
        <w:t>A written one-page progress report by email every fortnight documenting activities completed, sample/data-quality status, emerging risks or deviations, decisions required and planned activities for the next reporting period.</w:t>
      </w:r>
    </w:p>
    <w:p w14:paraId="2D50CD9E" w14:textId="77777777" w:rsidR="00614E54" w:rsidRPr="00614E54" w:rsidRDefault="00614E54" w:rsidP="00614E54">
      <w:pPr>
        <w:spacing w:after="60" w:line="240" w:lineRule="auto"/>
        <w:jc w:val="both"/>
        <w:rPr>
          <w:rFonts w:ascii="Lato" w:hAnsi="Lato"/>
          <w:sz w:val="24"/>
          <w:szCs w:val="24"/>
        </w:rPr>
      </w:pPr>
    </w:p>
    <w:p w14:paraId="0FECFF57" w14:textId="77777777" w:rsidR="00614E54" w:rsidRPr="00614E54" w:rsidRDefault="00614E54" w:rsidP="00614E54">
      <w:pPr>
        <w:spacing w:after="60" w:line="240" w:lineRule="auto"/>
        <w:jc w:val="both"/>
        <w:rPr>
          <w:rFonts w:ascii="Lato" w:hAnsi="Lato"/>
          <w:color w:val="auto"/>
          <w:sz w:val="24"/>
          <w:szCs w:val="24"/>
        </w:rPr>
      </w:pPr>
      <w:r w:rsidRPr="00614E54">
        <w:rPr>
          <w:rFonts w:ascii="Lato" w:hAnsi="Lato"/>
          <w:sz w:val="24"/>
          <w:szCs w:val="24"/>
        </w:rPr>
        <w:t>The study team will attend Study Working Group meetings at least fortnightly during inception, fieldwork and analysis, or more frequently when time-critical decisions are required. Meetings may be held in person or remotely depending on access and security.</w:t>
      </w:r>
    </w:p>
    <w:p w14:paraId="120C7763" w14:textId="77777777" w:rsidR="00614E54" w:rsidRPr="00614E54" w:rsidRDefault="00614E54" w:rsidP="00614E54">
      <w:pPr>
        <w:rPr>
          <w:rFonts w:ascii="Lato" w:hAnsi="Lato" w:cs="Arial"/>
          <w:color w:val="auto"/>
          <w:sz w:val="24"/>
          <w:szCs w:val="24"/>
        </w:rPr>
      </w:pPr>
    </w:p>
    <w:p w14:paraId="034CCF16" w14:textId="1CB29D3F" w:rsidR="00614E54" w:rsidRPr="008802BD" w:rsidRDefault="00614E54" w:rsidP="008802BD">
      <w:pPr>
        <w:pStyle w:val="Heading1"/>
        <w:rPr>
          <w:rFonts w:ascii="Lato" w:hAnsi="Lato"/>
          <w:b/>
          <w:caps w:val="0"/>
          <w:sz w:val="24"/>
          <w:szCs w:val="24"/>
        </w:rPr>
      </w:pPr>
      <w:bookmarkStart w:id="15" w:name="_Toc61945695"/>
      <w:r w:rsidRPr="008802BD">
        <w:rPr>
          <w:rFonts w:ascii="Lato" w:hAnsi="Lato"/>
          <w:b/>
          <w:caps w:val="0"/>
          <w:sz w:val="24"/>
          <w:szCs w:val="24"/>
        </w:rPr>
        <w:t>Study Management</w:t>
      </w:r>
      <w:bookmarkEnd w:id="15"/>
      <w:r w:rsidRPr="008802BD">
        <w:rPr>
          <w:rFonts w:ascii="Lato" w:hAnsi="Lato"/>
          <w:b/>
          <w:caps w:val="0"/>
          <w:sz w:val="24"/>
          <w:szCs w:val="24"/>
        </w:rPr>
        <w:t xml:space="preserve"> </w:t>
      </w:r>
    </w:p>
    <w:p w14:paraId="34B1225C" w14:textId="77777777" w:rsidR="00614E54" w:rsidRPr="00614E54" w:rsidRDefault="00614E54" w:rsidP="00614E54">
      <w:pPr>
        <w:jc w:val="both"/>
        <w:rPr>
          <w:rFonts w:ascii="Lato" w:hAnsi="Lato"/>
          <w:color w:val="0070C0"/>
          <w:sz w:val="24"/>
          <w:szCs w:val="24"/>
        </w:rPr>
      </w:pPr>
      <w:r w:rsidRPr="00614E54">
        <w:rPr>
          <w:rFonts w:ascii="Lato" w:hAnsi="Lato"/>
          <w:sz w:val="24"/>
          <w:szCs w:val="24"/>
        </w:rPr>
        <w:t>Study management will follow the indicative sequence below. The final calendar will be agreed during inception and will cover a maximum technical period of 5 weeks (35 calendar days). Review periods stated in days are calendar days. The sequence may be adjusted for procurement, ethics, security and humanitarian access without weakening the required methodological steps or deliverable quality.</w:t>
      </w:r>
    </w:p>
    <w:p w14:paraId="0A7FF314" w14:textId="10C4BFA6" w:rsidR="00614E54" w:rsidRPr="00614E54" w:rsidRDefault="00614E54" w:rsidP="00614E54">
      <w:pPr>
        <w:jc w:val="both"/>
        <w:rPr>
          <w:rFonts w:ascii="Lato" w:hAnsi="Lato"/>
          <w:color w:val="0070C0"/>
          <w:sz w:val="24"/>
          <w:szCs w:val="24"/>
        </w:rPr>
      </w:pPr>
      <w:r w:rsidRPr="00614E54">
        <w:rPr>
          <w:rFonts w:ascii="Lato" w:hAnsi="Lato"/>
          <w:sz w:val="24"/>
          <w:szCs w:val="24"/>
        </w:rPr>
        <w:t>The Save the Children Study Manager will coordinate internal review and decision-making, while the study team remains accountable for timely delivery, field quality, secure data management, reproducible analysis and independent reporting. The Study Working Group will provide technical and operational input at the specified review points.</w:t>
      </w:r>
    </w:p>
    <w:p w14:paraId="699CED9A" w14:textId="77777777" w:rsidR="00614E54" w:rsidRPr="00614E54" w:rsidRDefault="00614E54" w:rsidP="00614E54">
      <w:pPr>
        <w:jc w:val="both"/>
        <w:rPr>
          <w:rFonts w:ascii="Lato" w:hAnsi="Lato"/>
          <w:b/>
          <w:bCs/>
          <w:sz w:val="24"/>
          <w:szCs w:val="24"/>
        </w:rPr>
      </w:pPr>
      <w:r w:rsidRPr="00614E54">
        <w:rPr>
          <w:rFonts w:ascii="Lato" w:hAnsi="Lato"/>
          <w:b/>
          <w:bCs/>
          <w:sz w:val="24"/>
          <w:szCs w:val="24"/>
        </w:rPr>
        <w:t>Study Tentative Timeline, with key deliverables in bold. The final timeline and deliverables will be agreed during the inception phase.</w:t>
      </w:r>
    </w:p>
    <w:tbl>
      <w:tblPr>
        <w:tblStyle w:val="GridTable1Light-Accent3"/>
        <w:tblW w:w="9016" w:type="dxa"/>
        <w:tblLayout w:type="fixed"/>
        <w:tblLook w:val="04A0" w:firstRow="1" w:lastRow="0" w:firstColumn="1" w:lastColumn="0" w:noHBand="0" w:noVBand="1"/>
      </w:tblPr>
      <w:tblGrid>
        <w:gridCol w:w="3217"/>
        <w:gridCol w:w="2211"/>
        <w:gridCol w:w="1243"/>
        <w:gridCol w:w="2345"/>
      </w:tblGrid>
      <w:tr w:rsidR="00614E54" w:rsidRPr="00614E54" w14:paraId="17845B10" w14:textId="77777777" w:rsidTr="00E326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6" w:type="dxa"/>
            <w:tcBorders>
              <w:bottom w:val="single" w:sz="12" w:space="0" w:color="DA7263"/>
            </w:tcBorders>
          </w:tcPr>
          <w:p w14:paraId="445414A5" w14:textId="77777777" w:rsidR="00614E54" w:rsidRPr="00614E54" w:rsidRDefault="00614E54" w:rsidP="00614E54">
            <w:pPr>
              <w:jc w:val="center"/>
              <w:rPr>
                <w:rFonts w:ascii="Lato" w:hAnsi="Lato"/>
                <w:sz w:val="24"/>
                <w:szCs w:val="24"/>
              </w:rPr>
            </w:pPr>
            <w:r w:rsidRPr="00614E54">
              <w:rPr>
                <w:rFonts w:ascii="Lato" w:hAnsi="Lato"/>
                <w:sz w:val="24"/>
                <w:szCs w:val="24"/>
              </w:rPr>
              <w:lastRenderedPageBreak/>
              <w:t>What</w:t>
            </w:r>
          </w:p>
        </w:tc>
        <w:tc>
          <w:tcPr>
            <w:tcW w:w="2211" w:type="dxa"/>
            <w:tcBorders>
              <w:bottom w:val="single" w:sz="12" w:space="0" w:color="DA7263"/>
            </w:tcBorders>
          </w:tcPr>
          <w:p w14:paraId="68A8E6C4" w14:textId="77777777" w:rsidR="00614E54" w:rsidRPr="00614E54" w:rsidRDefault="00614E54" w:rsidP="00614E54">
            <w:pPr>
              <w:jc w:val="center"/>
              <w:cnfStyle w:val="100000000000" w:firstRow="1" w:lastRow="0" w:firstColumn="0" w:lastColumn="0" w:oddVBand="0" w:evenVBand="0" w:oddHBand="0" w:evenHBand="0" w:firstRowFirstColumn="0" w:firstRowLastColumn="0" w:lastRowFirstColumn="0" w:lastRowLastColumn="0"/>
              <w:rPr>
                <w:rFonts w:ascii="Lato" w:hAnsi="Lato"/>
                <w:sz w:val="24"/>
                <w:szCs w:val="24"/>
              </w:rPr>
            </w:pPr>
            <w:r w:rsidRPr="00614E54">
              <w:rPr>
                <w:rFonts w:ascii="Lato" w:hAnsi="Lato"/>
                <w:sz w:val="24"/>
                <w:szCs w:val="24"/>
              </w:rPr>
              <w:t>Who is responsible</w:t>
            </w:r>
          </w:p>
        </w:tc>
        <w:tc>
          <w:tcPr>
            <w:tcW w:w="1243" w:type="dxa"/>
            <w:tcBorders>
              <w:bottom w:val="single" w:sz="12" w:space="0" w:color="DA7263"/>
            </w:tcBorders>
          </w:tcPr>
          <w:p w14:paraId="32A9CB77" w14:textId="77777777" w:rsidR="00614E54" w:rsidRPr="00614E54" w:rsidRDefault="00614E54" w:rsidP="00614E54">
            <w:pPr>
              <w:jc w:val="center"/>
              <w:cnfStyle w:val="100000000000" w:firstRow="1" w:lastRow="0" w:firstColumn="0" w:lastColumn="0" w:oddVBand="0" w:evenVBand="0" w:oddHBand="0" w:evenHBand="0" w:firstRowFirstColumn="0" w:firstRowLastColumn="0" w:lastRowFirstColumn="0" w:lastRowLastColumn="0"/>
              <w:rPr>
                <w:rFonts w:ascii="Lato" w:hAnsi="Lato"/>
                <w:sz w:val="24"/>
                <w:szCs w:val="24"/>
              </w:rPr>
            </w:pPr>
            <w:r w:rsidRPr="00614E54">
              <w:rPr>
                <w:rFonts w:ascii="Lato" w:hAnsi="Lato"/>
                <w:sz w:val="24"/>
                <w:szCs w:val="24"/>
              </w:rPr>
              <w:t>By when</w:t>
            </w:r>
          </w:p>
        </w:tc>
        <w:tc>
          <w:tcPr>
            <w:tcW w:w="2345" w:type="dxa"/>
            <w:tcBorders>
              <w:bottom w:val="single" w:sz="12" w:space="0" w:color="DA7263"/>
            </w:tcBorders>
          </w:tcPr>
          <w:p w14:paraId="36EF5B0A" w14:textId="77777777" w:rsidR="00614E54" w:rsidRPr="00614E54" w:rsidRDefault="00614E54" w:rsidP="00614E54">
            <w:pPr>
              <w:jc w:val="center"/>
              <w:cnfStyle w:val="100000000000" w:firstRow="1" w:lastRow="0" w:firstColumn="0" w:lastColumn="0" w:oddVBand="0" w:evenVBand="0" w:oddHBand="0" w:evenHBand="0" w:firstRowFirstColumn="0" w:firstRowLastColumn="0" w:lastRowFirstColumn="0" w:lastRowLastColumn="0"/>
              <w:rPr>
                <w:rFonts w:ascii="Lato" w:hAnsi="Lato"/>
                <w:sz w:val="24"/>
                <w:szCs w:val="24"/>
              </w:rPr>
            </w:pPr>
            <w:r w:rsidRPr="00614E54">
              <w:rPr>
                <w:rFonts w:ascii="Lato" w:hAnsi="Lato"/>
                <w:sz w:val="24"/>
                <w:szCs w:val="24"/>
              </w:rPr>
              <w:t>Who else is involved</w:t>
            </w:r>
          </w:p>
        </w:tc>
      </w:tr>
      <w:tr w:rsidR="00614E54" w:rsidRPr="00614E54" w14:paraId="7B66C0C5"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4BA632C7" w14:textId="77777777" w:rsidR="00614E54" w:rsidRPr="00614E54" w:rsidRDefault="00614E54" w:rsidP="00614E54">
            <w:pPr>
              <w:rPr>
                <w:rFonts w:ascii="Lato" w:hAnsi="Lato"/>
                <w:b w:val="0"/>
                <w:bCs w:val="0"/>
                <w:sz w:val="24"/>
                <w:szCs w:val="24"/>
              </w:rPr>
            </w:pPr>
            <w:r w:rsidRPr="00614E54">
              <w:rPr>
                <w:sz w:val="24"/>
                <w:szCs w:val="24"/>
              </w:rPr>
              <w:t>Study tender submissions due</w:t>
            </w:r>
          </w:p>
        </w:tc>
        <w:tc>
          <w:tcPr>
            <w:tcW w:w="2211" w:type="dxa"/>
          </w:tcPr>
          <w:p w14:paraId="41F6DE73"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proponents</w:t>
            </w:r>
          </w:p>
        </w:tc>
        <w:tc>
          <w:tcPr>
            <w:tcW w:w="1243" w:type="dxa"/>
          </w:tcPr>
          <w:p w14:paraId="36C0B9AB"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Tender deadline</w:t>
            </w:r>
          </w:p>
        </w:tc>
        <w:tc>
          <w:tcPr>
            <w:tcW w:w="2345" w:type="dxa"/>
          </w:tcPr>
          <w:p w14:paraId="1A9FB16F" w14:textId="751A8CC0"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Procurement; Study Manager</w:t>
            </w:r>
          </w:p>
        </w:tc>
      </w:tr>
      <w:tr w:rsidR="00614E54" w:rsidRPr="00614E54" w14:paraId="55A663C5"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2FFE306A" w14:textId="77777777" w:rsidR="00614E54" w:rsidRPr="00614E54" w:rsidRDefault="00614E54" w:rsidP="00614E54">
            <w:pPr>
              <w:rPr>
                <w:rFonts w:ascii="Lato" w:hAnsi="Lato"/>
                <w:b w:val="0"/>
                <w:bCs w:val="0"/>
                <w:sz w:val="24"/>
                <w:szCs w:val="24"/>
              </w:rPr>
            </w:pPr>
            <w:r w:rsidRPr="00614E54">
              <w:rPr>
                <w:sz w:val="24"/>
                <w:szCs w:val="24"/>
              </w:rPr>
              <w:t>Tender review and selection of study team</w:t>
            </w:r>
          </w:p>
        </w:tc>
        <w:tc>
          <w:tcPr>
            <w:tcW w:w="2211" w:type="dxa"/>
          </w:tcPr>
          <w:p w14:paraId="45942D3F"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tender review panel</w:t>
            </w:r>
          </w:p>
        </w:tc>
        <w:tc>
          <w:tcPr>
            <w:tcW w:w="1243" w:type="dxa"/>
          </w:tcPr>
          <w:p w14:paraId="6098A273"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Selection deadline</w:t>
            </w:r>
          </w:p>
        </w:tc>
        <w:tc>
          <w:tcPr>
            <w:tcW w:w="2345" w:type="dxa"/>
          </w:tcPr>
          <w:p w14:paraId="5A9D0A70" w14:textId="5E58CC8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Technical reviewers; Study Manager</w:t>
            </w:r>
          </w:p>
        </w:tc>
      </w:tr>
      <w:tr w:rsidR="00614E54" w:rsidRPr="00614E54" w14:paraId="687E59C0"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6B4E6AC9"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Documentation review, desk research and data-availability/quality audit</w:t>
            </w:r>
          </w:p>
        </w:tc>
        <w:tc>
          <w:tcPr>
            <w:tcW w:w="2211" w:type="dxa"/>
          </w:tcPr>
          <w:p w14:paraId="3A638247"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1689AEF1"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1</w:t>
            </w:r>
          </w:p>
        </w:tc>
        <w:tc>
          <w:tcPr>
            <w:tcW w:w="2345" w:type="dxa"/>
          </w:tcPr>
          <w:p w14:paraId="3B092287"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SWG; MEAL/data focal points</w:t>
            </w:r>
          </w:p>
        </w:tc>
      </w:tr>
      <w:tr w:rsidR="00614E54" w:rsidRPr="00614E54" w14:paraId="72CCE09D"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52460A3E"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Consultation and inception workshop</w:t>
            </w:r>
          </w:p>
        </w:tc>
        <w:tc>
          <w:tcPr>
            <w:tcW w:w="2211" w:type="dxa"/>
          </w:tcPr>
          <w:p w14:paraId="6403D126"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017B9CD7"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1</w:t>
            </w:r>
          </w:p>
        </w:tc>
        <w:tc>
          <w:tcPr>
            <w:tcW w:w="2345" w:type="dxa"/>
          </w:tcPr>
          <w:p w14:paraId="7E3C8525"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Primary stakeholders listed in Section 4.2</w:t>
            </w:r>
          </w:p>
        </w:tc>
      </w:tr>
      <w:tr w:rsidR="00614E54" w:rsidRPr="00614E54" w14:paraId="716D1ED3"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38D1DC4C" w14:textId="77777777" w:rsidR="00614E54" w:rsidRPr="00614E54" w:rsidRDefault="00614E54" w:rsidP="00614E54">
            <w:pPr>
              <w:rPr>
                <w:rFonts w:ascii="Lato" w:hAnsi="Lato"/>
                <w:bCs w:val="0"/>
                <w:sz w:val="24"/>
                <w:szCs w:val="24"/>
              </w:rPr>
            </w:pPr>
            <w:r w:rsidRPr="00614E54">
              <w:rPr>
                <w:rFonts w:ascii="Lato" w:hAnsi="Lato"/>
                <w:bCs w:val="0"/>
                <w:sz w:val="24"/>
                <w:szCs w:val="24"/>
              </w:rPr>
              <w:t>Inception report</w:t>
            </w:r>
          </w:p>
        </w:tc>
        <w:tc>
          <w:tcPr>
            <w:tcW w:w="2211" w:type="dxa"/>
          </w:tcPr>
          <w:p w14:paraId="65FD33C9"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3DB8A09A"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End of Week 1</w:t>
            </w:r>
          </w:p>
        </w:tc>
        <w:tc>
          <w:tcPr>
            <w:tcW w:w="2345" w:type="dxa"/>
          </w:tcPr>
          <w:p w14:paraId="6EF61413"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Working Group</w:t>
            </w:r>
          </w:p>
        </w:tc>
      </w:tr>
      <w:tr w:rsidR="00614E54" w:rsidRPr="00614E54" w14:paraId="394A3516"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024483A9"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Review of inception report</w:t>
            </w:r>
          </w:p>
        </w:tc>
        <w:tc>
          <w:tcPr>
            <w:tcW w:w="2211" w:type="dxa"/>
          </w:tcPr>
          <w:p w14:paraId="197B9961" w14:textId="0FAB43D8"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Study Manager</w:t>
            </w:r>
          </w:p>
        </w:tc>
        <w:tc>
          <w:tcPr>
            <w:tcW w:w="1243" w:type="dxa"/>
          </w:tcPr>
          <w:p w14:paraId="35B7CD72"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2 calendar days</w:t>
            </w:r>
          </w:p>
        </w:tc>
        <w:tc>
          <w:tcPr>
            <w:tcW w:w="2345" w:type="dxa"/>
          </w:tcPr>
          <w:p w14:paraId="67516986"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Working Group; relevant technical advisers</w:t>
            </w:r>
          </w:p>
        </w:tc>
      </w:tr>
      <w:tr w:rsidR="00614E54" w:rsidRPr="00614E54" w14:paraId="77E7331B"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6EE36D0C"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Development, translation, programming and piloting of data collection tools</w:t>
            </w:r>
          </w:p>
        </w:tc>
        <w:tc>
          <w:tcPr>
            <w:tcW w:w="2211" w:type="dxa"/>
          </w:tcPr>
          <w:p w14:paraId="25DB6052"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6C0AE01C"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Weeks 1–2</w:t>
            </w:r>
          </w:p>
        </w:tc>
        <w:tc>
          <w:tcPr>
            <w:tcW w:w="2345" w:type="dxa"/>
          </w:tcPr>
          <w:p w14:paraId="78448675"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Working Group; technical advisers; field team</w:t>
            </w:r>
          </w:p>
        </w:tc>
      </w:tr>
      <w:tr w:rsidR="00614E54" w:rsidRPr="00614E54" w14:paraId="33A38C86"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7BA095B4" w14:textId="77777777" w:rsidR="00614E54" w:rsidRPr="00614E54" w:rsidRDefault="00614E54" w:rsidP="00614E54">
            <w:pPr>
              <w:rPr>
                <w:rFonts w:ascii="Lato" w:hAnsi="Lato"/>
                <w:bCs w:val="0"/>
                <w:sz w:val="24"/>
                <w:szCs w:val="24"/>
              </w:rPr>
            </w:pPr>
            <w:r w:rsidRPr="00614E54">
              <w:rPr>
                <w:rFonts w:ascii="Lato" w:hAnsi="Lato"/>
                <w:bCs w:val="0"/>
                <w:sz w:val="24"/>
                <w:szCs w:val="24"/>
              </w:rPr>
              <w:t>Ethics submission / approval</w:t>
            </w:r>
          </w:p>
        </w:tc>
        <w:tc>
          <w:tcPr>
            <w:tcW w:w="2211" w:type="dxa"/>
          </w:tcPr>
          <w:p w14:paraId="5A9C272E"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3397F53D"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Submit Week 1; approve before fieldwork</w:t>
            </w:r>
          </w:p>
        </w:tc>
        <w:tc>
          <w:tcPr>
            <w:tcW w:w="2345" w:type="dxa"/>
          </w:tcPr>
          <w:p w14:paraId="67A803B8" w14:textId="70CB209E"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Manager; ethics focal points</w:t>
            </w:r>
          </w:p>
        </w:tc>
      </w:tr>
      <w:tr w:rsidR="00614E54" w:rsidRPr="00614E54" w14:paraId="0F8638FB"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2452D2FD"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Logistical arrangements, record-abstraction training, qualitative preparation and any approved anthropometry standardisation</w:t>
            </w:r>
          </w:p>
        </w:tc>
        <w:tc>
          <w:tcPr>
            <w:tcW w:w="2211" w:type="dxa"/>
          </w:tcPr>
          <w:p w14:paraId="1874F361"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 with Save the Children field/logistics support</w:t>
            </w:r>
          </w:p>
        </w:tc>
        <w:tc>
          <w:tcPr>
            <w:tcW w:w="1243" w:type="dxa"/>
          </w:tcPr>
          <w:p w14:paraId="59A97DF1"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2</w:t>
            </w:r>
          </w:p>
        </w:tc>
        <w:tc>
          <w:tcPr>
            <w:tcW w:w="2345" w:type="dxa"/>
          </w:tcPr>
          <w:p w14:paraId="56517F1C"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Field office; partner; security focal points</w:t>
            </w:r>
          </w:p>
        </w:tc>
      </w:tr>
      <w:tr w:rsidR="00614E54" w:rsidRPr="00614E54" w14:paraId="1B467157"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2B44A690"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Primary caregiver/qualitative data collection and participant/patient-card abstraction</w:t>
            </w:r>
          </w:p>
        </w:tc>
        <w:tc>
          <w:tcPr>
            <w:tcW w:w="2211" w:type="dxa"/>
          </w:tcPr>
          <w:p w14:paraId="03B6B0B1"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12A529A1"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Weeks 2–3</w:t>
            </w:r>
          </w:p>
        </w:tc>
        <w:tc>
          <w:tcPr>
            <w:tcW w:w="2345" w:type="dxa"/>
          </w:tcPr>
          <w:p w14:paraId="653AC939"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Approved field team; partner/SCI facilitators as agreed</w:t>
            </w:r>
          </w:p>
        </w:tc>
      </w:tr>
      <w:tr w:rsidR="00614E54" w:rsidRPr="00614E54" w14:paraId="740813C6"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7876E414" w14:textId="77777777" w:rsidR="00614E54" w:rsidRPr="00614E54" w:rsidRDefault="00614E54" w:rsidP="00614E54">
            <w:pPr>
              <w:rPr>
                <w:rFonts w:ascii="Lato" w:hAnsi="Lato"/>
                <w:b w:val="0"/>
                <w:bCs w:val="0"/>
                <w:sz w:val="24"/>
                <w:szCs w:val="24"/>
              </w:rPr>
            </w:pPr>
            <w:r w:rsidRPr="00614E54">
              <w:rPr>
                <w:rFonts w:ascii="Lato" w:hAnsi="Lato"/>
                <w:bCs w:val="0"/>
                <w:sz w:val="24"/>
                <w:szCs w:val="24"/>
              </w:rPr>
              <w:t xml:space="preserve">Data management and analysis: coding, transcription, cleaning, linkage, weighting, </w:t>
            </w:r>
            <w:r w:rsidRPr="00614E54">
              <w:rPr>
                <w:rFonts w:ascii="Lato" w:hAnsi="Lato"/>
                <w:bCs w:val="0"/>
                <w:sz w:val="24"/>
                <w:szCs w:val="24"/>
              </w:rPr>
              <w:lastRenderedPageBreak/>
              <w:t>statistical/qualitative/cost analysis and triangulation</w:t>
            </w:r>
          </w:p>
        </w:tc>
        <w:tc>
          <w:tcPr>
            <w:tcW w:w="2211" w:type="dxa"/>
          </w:tcPr>
          <w:p w14:paraId="0418CC6E"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lastRenderedPageBreak/>
              <w:t>Study team</w:t>
            </w:r>
          </w:p>
        </w:tc>
        <w:tc>
          <w:tcPr>
            <w:tcW w:w="1243" w:type="dxa"/>
          </w:tcPr>
          <w:p w14:paraId="4667407F"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Weeks 3–4</w:t>
            </w:r>
          </w:p>
        </w:tc>
        <w:tc>
          <w:tcPr>
            <w:tcW w:w="2345" w:type="dxa"/>
          </w:tcPr>
          <w:p w14:paraId="02222C3F"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Team Lead; statistician; qualitative/cost specialists</w:t>
            </w:r>
          </w:p>
        </w:tc>
      </w:tr>
      <w:tr w:rsidR="00614E54" w:rsidRPr="00614E54" w14:paraId="3FD7372A"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74EB772F" w14:textId="77777777" w:rsidR="00614E54" w:rsidRPr="00614E54" w:rsidRDefault="00614E54" w:rsidP="00614E54">
            <w:pPr>
              <w:rPr>
                <w:rFonts w:ascii="Lato" w:hAnsi="Lato"/>
                <w:bCs w:val="0"/>
                <w:sz w:val="24"/>
                <w:szCs w:val="24"/>
              </w:rPr>
            </w:pPr>
            <w:r w:rsidRPr="00614E54">
              <w:rPr>
                <w:rFonts w:ascii="Lato" w:hAnsi="Lato"/>
                <w:bCs w:val="0"/>
                <w:sz w:val="24"/>
                <w:szCs w:val="24"/>
              </w:rPr>
              <w:t>First draft of the Final Study Report</w:t>
            </w:r>
          </w:p>
        </w:tc>
        <w:tc>
          <w:tcPr>
            <w:tcW w:w="2211" w:type="dxa"/>
          </w:tcPr>
          <w:p w14:paraId="08483858"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55A63B98"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4</w:t>
            </w:r>
          </w:p>
        </w:tc>
        <w:tc>
          <w:tcPr>
            <w:tcW w:w="2345" w:type="dxa"/>
          </w:tcPr>
          <w:p w14:paraId="654915D3"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Working Group</w:t>
            </w:r>
          </w:p>
        </w:tc>
      </w:tr>
      <w:tr w:rsidR="00614E54" w:rsidRPr="00614E54" w14:paraId="3E0A959B"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3E6C153C"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Review of first draft report</w:t>
            </w:r>
          </w:p>
        </w:tc>
        <w:tc>
          <w:tcPr>
            <w:tcW w:w="2211" w:type="dxa"/>
          </w:tcPr>
          <w:p w14:paraId="53776381" w14:textId="69DE54A2"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Study Manager</w:t>
            </w:r>
          </w:p>
        </w:tc>
        <w:tc>
          <w:tcPr>
            <w:tcW w:w="1243" w:type="dxa"/>
          </w:tcPr>
          <w:p w14:paraId="26313B5C"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2 calendar days (Week 4)</w:t>
            </w:r>
          </w:p>
        </w:tc>
        <w:tc>
          <w:tcPr>
            <w:tcW w:w="2345" w:type="dxa"/>
          </w:tcPr>
          <w:p w14:paraId="49BEF6B0"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Working Group; technical reviewers</w:t>
            </w:r>
          </w:p>
        </w:tc>
      </w:tr>
      <w:tr w:rsidR="00614E54" w:rsidRPr="00614E54" w14:paraId="114D136A"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371A22B7"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Meeting with study team to resolve substantive comments and finalise analysis/report</w:t>
            </w:r>
          </w:p>
        </w:tc>
        <w:tc>
          <w:tcPr>
            <w:tcW w:w="2211" w:type="dxa"/>
          </w:tcPr>
          <w:p w14:paraId="00B2A44B" w14:textId="1161BEEB"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Study Manager</w:t>
            </w:r>
          </w:p>
        </w:tc>
        <w:tc>
          <w:tcPr>
            <w:tcW w:w="1243" w:type="dxa"/>
          </w:tcPr>
          <w:p w14:paraId="6055949B"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5</w:t>
            </w:r>
          </w:p>
        </w:tc>
        <w:tc>
          <w:tcPr>
            <w:tcW w:w="2345" w:type="dxa"/>
          </w:tcPr>
          <w:p w14:paraId="4E32E376"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Working Group; Study Team Lead</w:t>
            </w:r>
          </w:p>
        </w:tc>
      </w:tr>
      <w:tr w:rsidR="00614E54" w:rsidRPr="00614E54" w14:paraId="1082581E"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54EE9269" w14:textId="77777777" w:rsidR="00614E54" w:rsidRPr="00614E54" w:rsidRDefault="00614E54" w:rsidP="00614E54">
            <w:pPr>
              <w:rPr>
                <w:rFonts w:ascii="Lato" w:hAnsi="Lato"/>
                <w:b w:val="0"/>
                <w:bCs w:val="0"/>
                <w:color w:val="auto"/>
                <w:sz w:val="24"/>
                <w:szCs w:val="24"/>
              </w:rPr>
            </w:pPr>
            <w:r w:rsidRPr="00614E54">
              <w:rPr>
                <w:rFonts w:ascii="Lato" w:hAnsi="Lato"/>
                <w:b w:val="0"/>
                <w:bCs w:val="0"/>
                <w:sz w:val="24"/>
                <w:szCs w:val="24"/>
              </w:rPr>
              <w:t>Validation of study findings and recommendations</w:t>
            </w:r>
          </w:p>
        </w:tc>
        <w:tc>
          <w:tcPr>
            <w:tcW w:w="2211" w:type="dxa"/>
          </w:tcPr>
          <w:p w14:paraId="5F73BC3B" w14:textId="6DE5FEB5"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Study Manager</w:t>
            </w:r>
          </w:p>
        </w:tc>
        <w:tc>
          <w:tcPr>
            <w:tcW w:w="1243" w:type="dxa"/>
          </w:tcPr>
          <w:p w14:paraId="76090776"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5</w:t>
            </w:r>
          </w:p>
        </w:tc>
        <w:tc>
          <w:tcPr>
            <w:tcW w:w="2345" w:type="dxa"/>
          </w:tcPr>
          <w:p w14:paraId="53702683"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Community, partner and government representatives</w:t>
            </w:r>
          </w:p>
        </w:tc>
      </w:tr>
      <w:tr w:rsidR="00614E54" w:rsidRPr="00614E54" w14:paraId="073C5B66"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737B3948" w14:textId="77777777" w:rsidR="00614E54" w:rsidRPr="00614E54" w:rsidRDefault="00614E54" w:rsidP="00614E54">
            <w:pPr>
              <w:rPr>
                <w:rFonts w:ascii="Lato" w:hAnsi="Lato"/>
                <w:bCs w:val="0"/>
                <w:color w:val="auto"/>
                <w:sz w:val="24"/>
                <w:szCs w:val="24"/>
              </w:rPr>
            </w:pPr>
            <w:r w:rsidRPr="00614E54">
              <w:rPr>
                <w:rFonts w:ascii="Lato" w:hAnsi="Lato"/>
                <w:bCs w:val="0"/>
                <w:sz w:val="24"/>
                <w:szCs w:val="24"/>
              </w:rPr>
              <w:t>Final study report and submission of data and analyses</w:t>
            </w:r>
          </w:p>
        </w:tc>
        <w:tc>
          <w:tcPr>
            <w:tcW w:w="2211" w:type="dxa"/>
          </w:tcPr>
          <w:p w14:paraId="59517CCF"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262E0291"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5</w:t>
            </w:r>
          </w:p>
        </w:tc>
        <w:tc>
          <w:tcPr>
            <w:tcW w:w="2345" w:type="dxa"/>
          </w:tcPr>
          <w:p w14:paraId="4E2547B2" w14:textId="278B0C11"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Study Manager</w:t>
            </w:r>
          </w:p>
        </w:tc>
      </w:tr>
      <w:tr w:rsidR="00614E54" w:rsidRPr="00614E54" w14:paraId="5776A514"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318B0277" w14:textId="77777777" w:rsidR="00614E54" w:rsidRPr="00614E54" w:rsidRDefault="00614E54" w:rsidP="00614E54">
            <w:pPr>
              <w:rPr>
                <w:rFonts w:ascii="Lato" w:hAnsi="Lato"/>
                <w:sz w:val="24"/>
                <w:szCs w:val="24"/>
              </w:rPr>
            </w:pPr>
            <w:r w:rsidRPr="00614E54">
              <w:rPr>
                <w:rFonts w:ascii="Lato" w:hAnsi="Lato" w:cs="Arial"/>
                <w:sz w:val="24"/>
                <w:szCs w:val="24"/>
              </w:rPr>
              <w:t>Knowledge translation materials</w:t>
            </w:r>
          </w:p>
        </w:tc>
        <w:tc>
          <w:tcPr>
            <w:tcW w:w="2211" w:type="dxa"/>
          </w:tcPr>
          <w:p w14:paraId="3CEA61BA"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Study team</w:t>
            </w:r>
          </w:p>
        </w:tc>
        <w:tc>
          <w:tcPr>
            <w:tcW w:w="1243" w:type="dxa"/>
          </w:tcPr>
          <w:p w14:paraId="06B3F5E3"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Week 5</w:t>
            </w:r>
          </w:p>
        </w:tc>
        <w:tc>
          <w:tcPr>
            <w:tcW w:w="2345" w:type="dxa"/>
          </w:tcPr>
          <w:p w14:paraId="40ECCCB9"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Programme, MEAL, Communications and technical teams</w:t>
            </w:r>
          </w:p>
        </w:tc>
      </w:tr>
      <w:tr w:rsidR="00614E54" w:rsidRPr="00614E54" w14:paraId="67D0108E"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7DA7E23A"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Project team meeting to develop Study Response Plan</w:t>
            </w:r>
          </w:p>
        </w:tc>
        <w:tc>
          <w:tcPr>
            <w:tcW w:w="2211" w:type="dxa"/>
          </w:tcPr>
          <w:p w14:paraId="2C9ED5D7" w14:textId="1C5AAE50"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Study Manager</w:t>
            </w:r>
          </w:p>
        </w:tc>
        <w:tc>
          <w:tcPr>
            <w:tcW w:w="1243" w:type="dxa"/>
          </w:tcPr>
          <w:p w14:paraId="647E5BDD"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Within 14 calendar days of final report</w:t>
            </w:r>
          </w:p>
        </w:tc>
        <w:tc>
          <w:tcPr>
            <w:tcW w:w="2345" w:type="dxa"/>
          </w:tcPr>
          <w:p w14:paraId="5E97276B"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Programme/project, technical and MEAL leads</w:t>
            </w:r>
          </w:p>
        </w:tc>
      </w:tr>
      <w:tr w:rsidR="00614E54" w:rsidRPr="00614E54" w14:paraId="09EC3CF2" w14:textId="77777777" w:rsidTr="00E32618">
        <w:tc>
          <w:tcPr>
            <w:cnfStyle w:val="001000000000" w:firstRow="0" w:lastRow="0" w:firstColumn="1" w:lastColumn="0" w:oddVBand="0" w:evenVBand="0" w:oddHBand="0" w:evenHBand="0" w:firstRowFirstColumn="0" w:firstRowLastColumn="0" w:lastRowFirstColumn="0" w:lastRowLastColumn="0"/>
            <w:tcW w:w="3216" w:type="dxa"/>
          </w:tcPr>
          <w:p w14:paraId="34180BE0" w14:textId="77777777" w:rsidR="00614E54" w:rsidRPr="00614E54" w:rsidRDefault="00614E54" w:rsidP="00614E54">
            <w:pPr>
              <w:rPr>
                <w:rFonts w:ascii="Lato" w:hAnsi="Lato"/>
                <w:b w:val="0"/>
                <w:bCs w:val="0"/>
                <w:sz w:val="24"/>
                <w:szCs w:val="24"/>
              </w:rPr>
            </w:pPr>
            <w:r w:rsidRPr="00614E54">
              <w:rPr>
                <w:rFonts w:ascii="Lato" w:hAnsi="Lato"/>
                <w:b w:val="0"/>
                <w:bCs w:val="0"/>
                <w:sz w:val="24"/>
                <w:szCs w:val="24"/>
              </w:rPr>
              <w:t xml:space="preserve">Study final report, together with response plan, posted on </w:t>
            </w:r>
            <w:proofErr w:type="spellStart"/>
            <w:r w:rsidRPr="00614E54">
              <w:rPr>
                <w:rFonts w:ascii="Lato" w:hAnsi="Lato"/>
                <w:b w:val="0"/>
                <w:bCs w:val="0"/>
                <w:sz w:val="24"/>
                <w:szCs w:val="24"/>
              </w:rPr>
              <w:t>OneNet</w:t>
            </w:r>
            <w:proofErr w:type="spellEnd"/>
            <w:r w:rsidRPr="00614E54">
              <w:rPr>
                <w:rFonts w:ascii="Lato" w:hAnsi="Lato"/>
                <w:b w:val="0"/>
                <w:bCs w:val="0"/>
                <w:sz w:val="24"/>
                <w:szCs w:val="24"/>
              </w:rPr>
              <w:t xml:space="preserve"> and reviewed</w:t>
            </w:r>
          </w:p>
        </w:tc>
        <w:tc>
          <w:tcPr>
            <w:tcW w:w="2211" w:type="dxa"/>
          </w:tcPr>
          <w:p w14:paraId="198C669F" w14:textId="3B612D81"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Save the Children Study Manager</w:t>
            </w:r>
          </w:p>
        </w:tc>
        <w:tc>
          <w:tcPr>
            <w:tcW w:w="1243" w:type="dxa"/>
          </w:tcPr>
          <w:p w14:paraId="3A4997DC"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Following final approval</w:t>
            </w:r>
          </w:p>
        </w:tc>
        <w:tc>
          <w:tcPr>
            <w:tcW w:w="2345" w:type="dxa"/>
          </w:tcPr>
          <w:p w14:paraId="3453B24E" w14:textId="77777777" w:rsidR="00614E54" w:rsidRPr="00614E54" w:rsidRDefault="00614E54" w:rsidP="00614E54">
            <w:pPr>
              <w:cnfStyle w:val="000000000000" w:firstRow="0" w:lastRow="0" w:firstColumn="0" w:lastColumn="0" w:oddVBand="0" w:evenVBand="0" w:oddHBand="0" w:evenHBand="0" w:firstRowFirstColumn="0" w:firstRowLastColumn="0" w:lastRowFirstColumn="0" w:lastRowLastColumn="0"/>
              <w:rPr>
                <w:rFonts w:ascii="Lato" w:hAnsi="Lato"/>
                <w:color w:val="0070C0"/>
                <w:sz w:val="24"/>
                <w:szCs w:val="24"/>
              </w:rPr>
            </w:pPr>
            <w:r w:rsidRPr="00614E54">
              <w:rPr>
                <w:rFonts w:ascii="Lato" w:hAnsi="Lato"/>
                <w:sz w:val="24"/>
                <w:szCs w:val="24"/>
              </w:rPr>
              <w:t>Peer reviewers; evidence team</w:t>
            </w:r>
          </w:p>
        </w:tc>
      </w:tr>
    </w:tbl>
    <w:p w14:paraId="17DF8303" w14:textId="0528CE58" w:rsidR="009E23EA" w:rsidRPr="00AA57D7" w:rsidRDefault="009E23EA" w:rsidP="00AA57D7">
      <w:pPr>
        <w:pStyle w:val="Heading1"/>
        <w:rPr>
          <w:rFonts w:ascii="Lato" w:hAnsi="Lato"/>
          <w:b/>
          <w:caps w:val="0"/>
          <w:sz w:val="24"/>
          <w:szCs w:val="24"/>
        </w:rPr>
      </w:pPr>
      <w:r w:rsidRPr="00AA57D7">
        <w:rPr>
          <w:rFonts w:ascii="Lato" w:hAnsi="Lato"/>
          <w:b/>
          <w:caps w:val="0"/>
          <w:sz w:val="24"/>
          <w:szCs w:val="24"/>
        </w:rPr>
        <w:t>Study Team</w:t>
      </w:r>
      <w:bookmarkEnd w:id="12"/>
      <w:r w:rsidRPr="00AA57D7">
        <w:rPr>
          <w:rFonts w:ascii="Lato" w:hAnsi="Lato"/>
          <w:b/>
          <w:caps w:val="0"/>
          <w:sz w:val="24"/>
          <w:szCs w:val="24"/>
        </w:rPr>
        <w:t xml:space="preserve"> and Selection Criteria</w:t>
      </w:r>
    </w:p>
    <w:p w14:paraId="74B1C67B" w14:textId="261FDFE7" w:rsidR="009E23EA" w:rsidRPr="009E23EA" w:rsidRDefault="009E23EA" w:rsidP="009E23EA">
      <w:pPr>
        <w:jc w:val="both"/>
        <w:rPr>
          <w:rFonts w:ascii="Lato" w:hAnsi="Lato"/>
          <w:color w:val="0070C0"/>
          <w:sz w:val="24"/>
          <w:szCs w:val="24"/>
        </w:rPr>
      </w:pPr>
      <w:r w:rsidRPr="009E23EA">
        <w:rPr>
          <w:rFonts w:ascii="Lato" w:hAnsi="Lato"/>
          <w:sz w:val="24"/>
          <w:szCs w:val="24"/>
        </w:rPr>
        <w:t xml:space="preserve">Interested consultants/study teams will be required to submit </w:t>
      </w:r>
      <w:r w:rsidR="00AA57D7">
        <w:rPr>
          <w:rFonts w:ascii="Lato" w:hAnsi="Lato"/>
          <w:sz w:val="24"/>
          <w:szCs w:val="24"/>
        </w:rPr>
        <w:t xml:space="preserve">a technical and </w:t>
      </w:r>
      <w:r w:rsidR="00AA57D7" w:rsidRPr="00AA57D7">
        <w:rPr>
          <w:rFonts w:ascii="Lato" w:hAnsi="Lato"/>
          <w:sz w:val="24"/>
          <w:szCs w:val="24"/>
        </w:rPr>
        <w:t>Financial Proposal</w:t>
      </w:r>
      <w:r w:rsidRPr="009E23EA">
        <w:rPr>
          <w:rFonts w:ascii="Lato" w:hAnsi="Lato"/>
          <w:sz w:val="24"/>
          <w:szCs w:val="24"/>
        </w:rPr>
        <w:t xml:space="preserve"> in line with the provided process and demonstrate the technical, ethical and operational capacity required for a rigorous nutrition end-line study in a humanitarian setting. The proposed team structure should clearly allocate responsibility for study leadership, nutrition/anthropometry, epidemiology/biostatistics, qualitative research, costing/economic analysis, field management and data management. Consultants may submit clarification questions to the commissioning manager and may flag methodological concerns in their application for consideration during contracting/inception.</w:t>
      </w:r>
    </w:p>
    <w:p w14:paraId="631845F5" w14:textId="77777777" w:rsidR="009E23EA" w:rsidRPr="009E23EA" w:rsidRDefault="009E23EA" w:rsidP="009E23EA">
      <w:pPr>
        <w:keepNext/>
        <w:keepLines/>
        <w:spacing w:before="240" w:after="0"/>
        <w:outlineLvl w:val="2"/>
        <w:rPr>
          <w:rFonts w:ascii="Lato" w:eastAsiaTheme="majorEastAsia" w:hAnsi="Lato" w:cstheme="majorBidi"/>
          <w:b/>
          <w:sz w:val="24"/>
          <w:szCs w:val="24"/>
        </w:rPr>
      </w:pPr>
      <w:r w:rsidRPr="009E23EA">
        <w:rPr>
          <w:rFonts w:ascii="Lato" w:eastAsiaTheme="majorEastAsia" w:hAnsi="Lato" w:cstheme="majorBidi"/>
          <w:b/>
          <w:sz w:val="24"/>
          <w:szCs w:val="24"/>
        </w:rPr>
        <w:lastRenderedPageBreak/>
        <w:t>Understanding of Requirements and Experience</w:t>
      </w:r>
    </w:p>
    <w:p w14:paraId="3540A9C9" w14:textId="77777777" w:rsidR="009E23EA" w:rsidRPr="009E23EA" w:rsidRDefault="009E23EA" w:rsidP="009E23EA">
      <w:pPr>
        <w:jc w:val="both"/>
        <w:rPr>
          <w:rFonts w:ascii="Lato" w:hAnsi="Lato"/>
          <w:sz w:val="24"/>
          <w:szCs w:val="24"/>
        </w:rPr>
      </w:pPr>
      <w:r w:rsidRPr="009E23EA">
        <w:rPr>
          <w:rFonts w:ascii="Lato" w:hAnsi="Lato"/>
          <w:sz w:val="24"/>
          <w:szCs w:val="24"/>
        </w:rPr>
        <w:t>To be considered, the study team members together must have demonstrated skills, expertise and experience in:</w:t>
      </w:r>
    </w:p>
    <w:p w14:paraId="0CBE5F6F" w14:textId="77777777" w:rsidR="009E23EA" w:rsidRPr="009E23EA" w:rsidRDefault="009E23EA" w:rsidP="009E23EA">
      <w:pPr>
        <w:numPr>
          <w:ilvl w:val="0"/>
          <w:numId w:val="15"/>
        </w:numPr>
        <w:spacing w:after="200" w:line="288" w:lineRule="auto"/>
        <w:contextualSpacing/>
        <w:jc w:val="both"/>
        <w:rPr>
          <w:rFonts w:ascii="Lato" w:eastAsiaTheme="minorHAnsi" w:hAnsi="Lato"/>
          <w:sz w:val="24"/>
          <w:szCs w:val="24"/>
        </w:rPr>
      </w:pPr>
      <w:r w:rsidRPr="009E23EA">
        <w:rPr>
          <w:rFonts w:ascii="Lato" w:eastAsiaTheme="minorHAnsi" w:hAnsi="Lato"/>
          <w:sz w:val="24"/>
          <w:szCs w:val="24"/>
        </w:rPr>
        <w:t>Designing and conducting mixed-methods outcome and implementation evaluations using rigorous observational and, where feasible, quasi-experimental designs, including retrospective cohort analysis from participant/patient cards, pre-specified analysis plans and transparent causal-inference limitations.</w:t>
      </w:r>
    </w:p>
    <w:p w14:paraId="7E5FEFE0"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rPr>
      </w:pPr>
      <w:r w:rsidRPr="009E23EA">
        <w:rPr>
          <w:rFonts w:ascii="Lato" w:eastAsiaTheme="minorEastAsia" w:hAnsi="Lato"/>
          <w:sz w:val="24"/>
          <w:szCs w:val="24"/>
        </w:rPr>
        <w:t>Nutrition and public-health research, particularly prevention and treatment of acute malnutrition, CMAM, IYCF, food-based prevention/SBC approaches, screening/referral systems and child anthropometry.</w:t>
      </w:r>
    </w:p>
    <w:p w14:paraId="41825A50" w14:textId="77777777" w:rsidR="009E23EA" w:rsidRPr="009E23EA" w:rsidRDefault="009E23EA" w:rsidP="009E23EA">
      <w:pPr>
        <w:numPr>
          <w:ilvl w:val="0"/>
          <w:numId w:val="15"/>
        </w:numPr>
        <w:spacing w:after="200" w:line="288" w:lineRule="auto"/>
        <w:contextualSpacing/>
        <w:jc w:val="both"/>
        <w:rPr>
          <w:rFonts w:ascii="Lato" w:eastAsiaTheme="minorHAnsi" w:hAnsi="Lato"/>
          <w:sz w:val="24"/>
          <w:szCs w:val="24"/>
        </w:rPr>
      </w:pPr>
      <w:r w:rsidRPr="009E23EA">
        <w:rPr>
          <w:rFonts w:ascii="Lato" w:eastAsiaTheme="minorHAnsi" w:hAnsi="Lato"/>
          <w:sz w:val="24"/>
          <w:szCs w:val="24"/>
        </w:rPr>
        <w:t>Leading research, evaluations or consultancy work in Sudan or comparable complex humanitarian settings, with strong contextual sensitivity to displacement, gender, disability, local language, cultural practices and hard-to-reach populations.</w:t>
      </w:r>
    </w:p>
    <w:p w14:paraId="40CF854E"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rPr>
      </w:pPr>
      <w:r w:rsidRPr="009E23EA">
        <w:rPr>
          <w:rFonts w:ascii="Lato" w:eastAsiaTheme="minorEastAsia" w:hAnsi="Lato"/>
          <w:sz w:val="24"/>
          <w:szCs w:val="24"/>
        </w:rPr>
        <w:t>Ethical and inclusive research involving young children and caregivers, including informed consent, safeguarding, referral procedures, anthropometric dignity/safety and appropriate representation of children through caregiver-level evidence.</w:t>
      </w:r>
    </w:p>
    <w:p w14:paraId="7439DDCB"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rPr>
      </w:pPr>
      <w:r w:rsidRPr="009E23EA">
        <w:rPr>
          <w:rFonts w:ascii="Lato" w:eastAsiaTheme="minorEastAsia" w:hAnsi="Lato"/>
          <w:sz w:val="24"/>
          <w:szCs w:val="24"/>
        </w:rPr>
        <w:t>Sampling and analysis of vulnerable and mobile populations, including probability sampling from participant/patient cards and registers, complex-survey inference where needed, longitudinal record linkage, retrospective calculation and interpretation of WHZ from valid raw measurements, missing-data assessment, subgroup/equity analysis and measurement-quality assurance.</w:t>
      </w:r>
    </w:p>
    <w:p w14:paraId="6AFEBA7E"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rPr>
      </w:pPr>
      <w:r w:rsidRPr="009E23EA">
        <w:rPr>
          <w:rFonts w:ascii="Lato" w:eastAsiaTheme="minorEastAsia" w:hAnsi="Lato"/>
          <w:sz w:val="24"/>
          <w:szCs w:val="24"/>
        </w:rPr>
        <w:t>Managing and coordinating government, non-government, community and technical stakeholders while maintaining study independence and clear decision-making/documentation processes.</w:t>
      </w:r>
    </w:p>
    <w:p w14:paraId="49455674"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rPr>
      </w:pPr>
      <w:r w:rsidRPr="009E23EA">
        <w:rPr>
          <w:rFonts w:ascii="Lato" w:eastAsiaTheme="minorEastAsia" w:hAnsi="Lato"/>
          <w:sz w:val="24"/>
          <w:szCs w:val="24"/>
        </w:rPr>
        <w:t>Field research in insecure or access-constrained humanitarian environments, including contingency planning, secure digital data collection, record-abstraction training, qualitative facilitation, enumerator supervision and daily quality control. Demonstrated anthropometry standardisation experience is required only if the final approved protocol includes new anthropometric measurement.</w:t>
      </w:r>
    </w:p>
    <w:p w14:paraId="04128287" w14:textId="77777777" w:rsidR="009E23EA" w:rsidRPr="009E23EA" w:rsidRDefault="009E23EA" w:rsidP="009E23EA">
      <w:pPr>
        <w:numPr>
          <w:ilvl w:val="0"/>
          <w:numId w:val="15"/>
        </w:numPr>
        <w:spacing w:after="200" w:line="288" w:lineRule="auto"/>
        <w:contextualSpacing/>
        <w:jc w:val="both"/>
        <w:rPr>
          <w:rFonts w:ascii="Lato" w:eastAsiaTheme="minorHAnsi" w:hAnsi="Lato"/>
          <w:sz w:val="24"/>
          <w:szCs w:val="24"/>
        </w:rPr>
      </w:pPr>
      <w:r w:rsidRPr="009E23EA">
        <w:rPr>
          <w:rFonts w:ascii="Lato" w:eastAsiaTheme="minorHAnsi" w:hAnsi="Lato"/>
          <w:sz w:val="24"/>
          <w:szCs w:val="24"/>
        </w:rPr>
        <w:t>Utilisation- and learning-focused evaluations using relevant OECD-DAC concepts, implementation science, contribution analysis/triangulation and evidence-to-action processes.</w:t>
      </w:r>
    </w:p>
    <w:p w14:paraId="5526151C" w14:textId="77777777" w:rsidR="009E23EA" w:rsidRPr="009E23EA" w:rsidRDefault="009E23EA" w:rsidP="009E23EA">
      <w:pPr>
        <w:numPr>
          <w:ilvl w:val="0"/>
          <w:numId w:val="15"/>
        </w:numPr>
        <w:spacing w:after="200" w:line="288" w:lineRule="auto"/>
        <w:contextualSpacing/>
        <w:jc w:val="both"/>
        <w:rPr>
          <w:rFonts w:ascii="Lato" w:eastAsiaTheme="minorHAnsi" w:hAnsi="Lato"/>
          <w:sz w:val="24"/>
          <w:szCs w:val="24"/>
        </w:rPr>
      </w:pPr>
      <w:r w:rsidRPr="009E23EA">
        <w:rPr>
          <w:rFonts w:ascii="Lato" w:eastAsiaTheme="minorHAnsi" w:hAnsi="Lato"/>
          <w:sz w:val="24"/>
          <w:szCs w:val="24"/>
        </w:rPr>
        <w:t>Programme costing and cost-efficiency analysis, including allocation of shared costs, unit-cost estimation, procurement/logistics cost analysis, assessment of local production/preparation costs and capacity where relevant, and cautious linkage of costs to measured outcomes where valid.</w:t>
      </w:r>
    </w:p>
    <w:p w14:paraId="3104C97C"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rPr>
      </w:pPr>
      <w:r w:rsidRPr="009E23EA">
        <w:rPr>
          <w:rFonts w:ascii="Lato" w:eastAsiaTheme="minorEastAsia" w:hAnsi="Lato"/>
          <w:sz w:val="24"/>
          <w:szCs w:val="24"/>
        </w:rPr>
        <w:lastRenderedPageBreak/>
        <w:t>Advanced quantitative and qualitative analytical skills and strong scientific writing, including the capacity to prepare publication-quality technical outputs and communicate complex findings to non-specialist audiences in clear English; Arabic field capacity is strongly required.</w:t>
      </w:r>
    </w:p>
    <w:p w14:paraId="1FB26C9F"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rPr>
      </w:pPr>
      <w:r w:rsidRPr="009E23EA">
        <w:rPr>
          <w:rFonts w:ascii="Lato" w:eastAsiaTheme="minorEastAsia" w:hAnsi="Lato"/>
          <w:sz w:val="24"/>
          <w:szCs w:val="24"/>
        </w:rPr>
        <w:t>A track record of open, collaborative working with clients while preserving methodological independence, data confidentiality and transparent reporting of adverse, null or conflicting findings.</w:t>
      </w:r>
    </w:p>
    <w:p w14:paraId="1AFDC9AF" w14:textId="77777777" w:rsidR="009E23EA" w:rsidRPr="009E23EA" w:rsidRDefault="009E23EA" w:rsidP="009E23EA">
      <w:pPr>
        <w:jc w:val="both"/>
        <w:rPr>
          <w:rFonts w:ascii="Lato" w:hAnsi="Lato" w:cstheme="minorHAnsi"/>
          <w:sz w:val="24"/>
          <w:szCs w:val="24"/>
        </w:rPr>
      </w:pPr>
      <w:r w:rsidRPr="009E23EA">
        <w:rPr>
          <w:rFonts w:ascii="Lato" w:hAnsi="Lato" w:cstheme="minorHAnsi"/>
          <w:sz w:val="24"/>
          <w:szCs w:val="24"/>
        </w:rPr>
        <w:t>There is a high expectation that:</w:t>
      </w:r>
    </w:p>
    <w:p w14:paraId="152F01B7"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lang w:val="en-US"/>
        </w:rPr>
      </w:pPr>
      <w:r w:rsidRPr="009E23EA">
        <w:rPr>
          <w:rFonts w:ascii="Lato" w:eastAsiaTheme="minorEastAsia" w:hAnsi="Lato"/>
          <w:sz w:val="24"/>
          <w:szCs w:val="24"/>
          <w:lang w:val="en-US"/>
        </w:rPr>
        <w:t>The proposed team has an appropriate combination of senior technical leadership and field capacity, and core members can demonstrate effective prior collaboration on comparable mixed-methods studies.</w:t>
      </w:r>
    </w:p>
    <w:p w14:paraId="4761735E" w14:textId="77777777" w:rsidR="009E23EA" w:rsidRPr="009E23EA" w:rsidRDefault="009E23EA" w:rsidP="009E23EA">
      <w:pPr>
        <w:numPr>
          <w:ilvl w:val="0"/>
          <w:numId w:val="15"/>
        </w:numPr>
        <w:spacing w:after="200" w:line="288" w:lineRule="auto"/>
        <w:contextualSpacing/>
        <w:jc w:val="both"/>
        <w:rPr>
          <w:rFonts w:ascii="Lato" w:eastAsiaTheme="minorEastAsia" w:hAnsi="Lato"/>
          <w:sz w:val="24"/>
          <w:szCs w:val="24"/>
          <w:lang w:val="en-US"/>
        </w:rPr>
      </w:pPr>
      <w:r w:rsidRPr="009E23EA">
        <w:rPr>
          <w:rFonts w:ascii="Lato" w:eastAsiaTheme="minorEastAsia" w:hAnsi="Lato"/>
          <w:sz w:val="24"/>
          <w:szCs w:val="24"/>
          <w:lang w:val="en-US"/>
        </w:rPr>
        <w:t>The Team Leader has an advanced degree in public health, nutrition, epidemiology, biostatistics or a closely related field, substantial experience leading complex humanitarian research/evaluation, and authority to ensure methodological and ethical quality across disciplines.</w:t>
      </w:r>
    </w:p>
    <w:p w14:paraId="0093A53C" w14:textId="3D663D3E" w:rsidR="009E23EA" w:rsidRPr="009E23EA" w:rsidRDefault="009E23EA" w:rsidP="009E23EA">
      <w:pPr>
        <w:numPr>
          <w:ilvl w:val="0"/>
          <w:numId w:val="15"/>
        </w:numPr>
        <w:spacing w:after="200" w:line="288" w:lineRule="auto"/>
        <w:contextualSpacing/>
        <w:jc w:val="both"/>
        <w:rPr>
          <w:rFonts w:ascii="Lato" w:eastAsiaTheme="minorEastAsia" w:hAnsi="Lato" w:cstheme="minorHAnsi"/>
          <w:iCs/>
          <w:sz w:val="24"/>
          <w:szCs w:val="24"/>
          <w:lang w:val="en-US"/>
        </w:rPr>
      </w:pPr>
      <w:r w:rsidRPr="009E23EA">
        <w:rPr>
          <w:rFonts w:ascii="Lato" w:eastAsiaTheme="minorEastAsia" w:hAnsi="Lato" w:cstheme="minorHAnsi"/>
          <w:iCs/>
          <w:sz w:val="24"/>
          <w:szCs w:val="24"/>
          <w:lang w:val="en-US"/>
        </w:rPr>
        <w:t xml:space="preserve">The team includes sufficient skilled resources for the full study period, including an epidemiologist/statistician, nutrition expertise, experienced patient-card/record abstraction and data-management capacity, qualitative research capacity and costing/economic analysis. If new anthropometry is approved, appropriately </w:t>
      </w:r>
      <w:r w:rsidR="000A09A8" w:rsidRPr="009E23EA">
        <w:rPr>
          <w:rFonts w:ascii="Lato" w:eastAsiaTheme="minorEastAsia" w:hAnsi="Lato" w:cstheme="minorHAnsi"/>
          <w:iCs/>
          <w:sz w:val="24"/>
          <w:szCs w:val="24"/>
          <w:lang w:val="en-US"/>
        </w:rPr>
        <w:t>standardized</w:t>
      </w:r>
      <w:r w:rsidRPr="009E23EA">
        <w:rPr>
          <w:rFonts w:ascii="Lato" w:eastAsiaTheme="minorEastAsia" w:hAnsi="Lato" w:cstheme="minorHAnsi"/>
          <w:iCs/>
          <w:sz w:val="24"/>
          <w:szCs w:val="24"/>
          <w:lang w:val="en-US"/>
        </w:rPr>
        <w:t xml:space="preserve"> anthropometry expertise must also be included. Role allocations and level of effort must be explicit.</w:t>
      </w:r>
    </w:p>
    <w:p w14:paraId="3B36983C" w14:textId="77777777" w:rsidR="009E23EA" w:rsidRPr="009E23EA" w:rsidRDefault="009E23EA" w:rsidP="009E23EA">
      <w:pPr>
        <w:numPr>
          <w:ilvl w:val="0"/>
          <w:numId w:val="15"/>
        </w:numPr>
        <w:spacing w:after="200" w:line="288" w:lineRule="auto"/>
        <w:contextualSpacing/>
        <w:jc w:val="both"/>
        <w:rPr>
          <w:rFonts w:ascii="Lato" w:eastAsiaTheme="minorEastAsia" w:hAnsi="Lato"/>
          <w:iCs/>
          <w:sz w:val="24"/>
          <w:szCs w:val="24"/>
          <w:lang w:val="en-US"/>
        </w:rPr>
      </w:pPr>
      <w:r w:rsidRPr="009E23EA">
        <w:rPr>
          <w:rFonts w:ascii="Lato" w:eastAsiaTheme="minorEastAsia" w:hAnsi="Lato"/>
          <w:iCs/>
          <w:sz w:val="24"/>
          <w:szCs w:val="24"/>
          <w:lang w:val="en-US"/>
        </w:rPr>
        <w:t>The team can work flexibly in response to access, security, ethics and operational changes while maintaining the approved design, documenting deviations and protecting participant safety and data integrity.</w:t>
      </w:r>
    </w:p>
    <w:p w14:paraId="387AFA6F" w14:textId="77777777" w:rsidR="009E23EA" w:rsidRPr="009E23EA" w:rsidRDefault="009E23EA" w:rsidP="009E23EA">
      <w:pPr>
        <w:keepNext/>
        <w:keepLines/>
        <w:spacing w:before="240" w:after="0"/>
        <w:outlineLvl w:val="2"/>
        <w:rPr>
          <w:rFonts w:ascii="Lato" w:eastAsiaTheme="majorEastAsia" w:hAnsi="Lato" w:cstheme="majorBidi"/>
          <w:b/>
          <w:sz w:val="24"/>
          <w:szCs w:val="24"/>
        </w:rPr>
      </w:pPr>
      <w:bookmarkStart w:id="16" w:name="_Toc61945703"/>
      <w:r w:rsidRPr="009E23EA">
        <w:rPr>
          <w:rFonts w:ascii="Lato" w:eastAsiaTheme="majorEastAsia" w:hAnsi="Lato" w:cstheme="majorBidi"/>
          <w:b/>
          <w:sz w:val="24"/>
          <w:szCs w:val="24"/>
        </w:rPr>
        <w:t xml:space="preserve">Financial </w:t>
      </w:r>
      <w:bookmarkEnd w:id="16"/>
      <w:r w:rsidRPr="009E23EA">
        <w:rPr>
          <w:rFonts w:ascii="Lato" w:eastAsiaTheme="majorEastAsia" w:hAnsi="Lato" w:cstheme="majorBidi"/>
          <w:b/>
          <w:sz w:val="24"/>
          <w:szCs w:val="24"/>
        </w:rPr>
        <w:t>Proposal</w:t>
      </w:r>
    </w:p>
    <w:p w14:paraId="60E641F3" w14:textId="77777777" w:rsidR="009E23EA" w:rsidRPr="009E23EA" w:rsidRDefault="009E23EA" w:rsidP="009E23EA">
      <w:pPr>
        <w:jc w:val="both"/>
        <w:rPr>
          <w:rFonts w:ascii="Lato" w:hAnsi="Lato"/>
          <w:sz w:val="24"/>
          <w:szCs w:val="24"/>
        </w:rPr>
      </w:pPr>
      <w:r w:rsidRPr="009E23EA">
        <w:rPr>
          <w:rFonts w:ascii="Lato" w:hAnsi="Lato"/>
          <w:sz w:val="24"/>
          <w:szCs w:val="24"/>
        </w:rPr>
        <w:t>Save the Children seeks value for money in its work. This does not necessarily mean “lowest cost”, but appropriate technical quality and reasonable costs. Proposals shall include personnel allocation (role, number of days, daily rates and taxes) and all other applicable costs, including fieldwork, travel/access, translation, electronic data collection, anthropometry equipment/standardisation, transcription, data management, software, ethics-related costs, analysis, validation, dissemination and any proposed publication-related costs.</w:t>
      </w:r>
    </w:p>
    <w:p w14:paraId="7C7CE802" w14:textId="3D776AFC" w:rsidR="009E23EA" w:rsidRPr="002F035D" w:rsidRDefault="009E23EA" w:rsidP="002F035D">
      <w:pPr>
        <w:pStyle w:val="Heading1"/>
        <w:rPr>
          <w:rFonts w:ascii="Lato" w:hAnsi="Lato"/>
          <w:b/>
          <w:caps w:val="0"/>
          <w:sz w:val="24"/>
          <w:szCs w:val="24"/>
        </w:rPr>
      </w:pPr>
      <w:bookmarkStart w:id="17" w:name="_Toc61945698"/>
      <w:r w:rsidRPr="002F035D">
        <w:rPr>
          <w:rFonts w:ascii="Lato" w:hAnsi="Lato"/>
          <w:b/>
          <w:caps w:val="0"/>
          <w:sz w:val="24"/>
          <w:szCs w:val="24"/>
        </w:rPr>
        <w:t>Schedule of Payment</w:t>
      </w:r>
      <w:bookmarkEnd w:id="17"/>
    </w:p>
    <w:p w14:paraId="5EDD81AC" w14:textId="77777777" w:rsidR="009E23EA" w:rsidRPr="009E23EA" w:rsidRDefault="009E23EA" w:rsidP="009E23EA">
      <w:pPr>
        <w:spacing w:after="0" w:line="288" w:lineRule="auto"/>
        <w:jc w:val="both"/>
        <w:rPr>
          <w:rFonts w:ascii="Lato" w:eastAsia="Times New Roman" w:hAnsi="Lato" w:cs="Times New Roman"/>
          <w:sz w:val="24"/>
          <w:szCs w:val="24"/>
          <w:lang w:val="en-US"/>
        </w:rPr>
      </w:pPr>
      <w:r w:rsidRPr="009E23EA">
        <w:rPr>
          <w:rFonts w:ascii="Lato" w:eastAsiaTheme="minorEastAsia" w:hAnsi="Lato"/>
          <w:sz w:val="24"/>
          <w:szCs w:val="24"/>
        </w:rPr>
        <w:t>The following payments will be made to the consultant using the agreed mode of payment, subject to satisfactory completion and formal approval of the corresponding deliverables:</w:t>
      </w:r>
    </w:p>
    <w:p w14:paraId="72C48184" w14:textId="5CBE6D0A" w:rsidR="009E23EA" w:rsidRPr="009E23EA" w:rsidRDefault="009E23EA" w:rsidP="009E23EA">
      <w:pPr>
        <w:numPr>
          <w:ilvl w:val="0"/>
          <w:numId w:val="16"/>
        </w:numPr>
        <w:spacing w:after="0" w:line="288" w:lineRule="auto"/>
        <w:contextualSpacing/>
        <w:rPr>
          <w:rFonts w:ascii="Lato" w:eastAsiaTheme="minorEastAsia" w:hAnsi="Lato"/>
          <w:i/>
          <w:iCs/>
          <w:sz w:val="24"/>
          <w:szCs w:val="24"/>
          <w:lang w:val="en-US"/>
        </w:rPr>
      </w:pPr>
      <w:r w:rsidRPr="009E23EA">
        <w:rPr>
          <w:rFonts w:ascii="Lato" w:eastAsiaTheme="minorEastAsia" w:hAnsi="Lato"/>
          <w:sz w:val="24"/>
          <w:szCs w:val="24"/>
        </w:rPr>
        <w:t xml:space="preserve">Upon approval of inception report and tools: </w:t>
      </w:r>
      <w:r w:rsidR="00AA57D7">
        <w:rPr>
          <w:rFonts w:ascii="Lato" w:eastAsiaTheme="minorEastAsia" w:hAnsi="Lato"/>
          <w:sz w:val="24"/>
          <w:szCs w:val="24"/>
        </w:rPr>
        <w:t>3</w:t>
      </w:r>
      <w:r w:rsidRPr="009E23EA">
        <w:rPr>
          <w:rFonts w:ascii="Lato" w:eastAsiaTheme="minorEastAsia" w:hAnsi="Lato"/>
          <w:sz w:val="24"/>
          <w:szCs w:val="24"/>
        </w:rPr>
        <w:t>0%</w:t>
      </w:r>
    </w:p>
    <w:p w14:paraId="77A9A394" w14:textId="77777777" w:rsidR="009E23EA" w:rsidRPr="009E23EA" w:rsidRDefault="009E23EA" w:rsidP="009E23EA">
      <w:pPr>
        <w:numPr>
          <w:ilvl w:val="0"/>
          <w:numId w:val="16"/>
        </w:numPr>
        <w:spacing w:after="0" w:line="288" w:lineRule="auto"/>
        <w:contextualSpacing/>
        <w:rPr>
          <w:rFonts w:ascii="Lato" w:eastAsiaTheme="minorEastAsia" w:hAnsi="Lato"/>
          <w:i/>
          <w:iCs/>
          <w:sz w:val="24"/>
          <w:szCs w:val="24"/>
          <w:lang w:val="en-US"/>
        </w:rPr>
      </w:pPr>
      <w:r w:rsidRPr="009E23EA">
        <w:rPr>
          <w:rFonts w:ascii="Lato" w:eastAsiaTheme="minorEastAsia" w:hAnsi="Lato"/>
          <w:iCs/>
          <w:sz w:val="24"/>
          <w:szCs w:val="24"/>
        </w:rPr>
        <w:t>Upon submission and acceptance for review of the First Draft Study Report and complete analysis package: 30%</w:t>
      </w:r>
    </w:p>
    <w:p w14:paraId="41F56412" w14:textId="4B8ABD80" w:rsidR="009E23EA" w:rsidRPr="009E23EA" w:rsidRDefault="009E23EA" w:rsidP="009E23EA">
      <w:pPr>
        <w:numPr>
          <w:ilvl w:val="0"/>
          <w:numId w:val="16"/>
        </w:numPr>
        <w:spacing w:after="0" w:line="288" w:lineRule="auto"/>
        <w:contextualSpacing/>
        <w:rPr>
          <w:rFonts w:ascii="Lato" w:eastAsiaTheme="minorEastAsia" w:hAnsi="Lato"/>
          <w:i/>
          <w:iCs/>
          <w:sz w:val="24"/>
          <w:szCs w:val="24"/>
          <w:lang w:val="en-US"/>
        </w:rPr>
      </w:pPr>
      <w:r w:rsidRPr="009E23EA">
        <w:rPr>
          <w:rFonts w:ascii="Lato" w:eastAsiaTheme="minorEastAsia" w:hAnsi="Lato"/>
          <w:iCs/>
          <w:sz w:val="24"/>
          <w:szCs w:val="24"/>
        </w:rPr>
        <w:lastRenderedPageBreak/>
        <w:t xml:space="preserve">Upon approval of the Final Study Report, final datasets/analysis package and knowledge translation materials: </w:t>
      </w:r>
      <w:r w:rsidR="00AA57D7">
        <w:rPr>
          <w:rFonts w:ascii="Lato" w:eastAsiaTheme="minorEastAsia" w:hAnsi="Lato"/>
          <w:iCs/>
          <w:sz w:val="24"/>
          <w:szCs w:val="24"/>
        </w:rPr>
        <w:t>4</w:t>
      </w:r>
      <w:r w:rsidRPr="009E23EA">
        <w:rPr>
          <w:rFonts w:ascii="Lato" w:eastAsiaTheme="minorEastAsia" w:hAnsi="Lato"/>
          <w:iCs/>
          <w:sz w:val="24"/>
          <w:szCs w:val="24"/>
        </w:rPr>
        <w:t>0%</w:t>
      </w:r>
    </w:p>
    <w:p w14:paraId="7E0CD164" w14:textId="77777777" w:rsidR="009E23EA" w:rsidRPr="009E23EA" w:rsidRDefault="009E23EA" w:rsidP="009E23EA">
      <w:pPr>
        <w:spacing w:after="0"/>
        <w:rPr>
          <w:rFonts w:ascii="Lato" w:hAnsi="Lato"/>
          <w:sz w:val="24"/>
          <w:szCs w:val="24"/>
        </w:rPr>
      </w:pPr>
    </w:p>
    <w:p w14:paraId="4CC9D4C6" w14:textId="3135D306" w:rsidR="009E23EA" w:rsidRPr="002F035D" w:rsidRDefault="009E23EA" w:rsidP="002F035D">
      <w:pPr>
        <w:pStyle w:val="Heading1"/>
        <w:ind w:left="567" w:hanging="567"/>
        <w:rPr>
          <w:rFonts w:ascii="Lato" w:hAnsi="Lato"/>
          <w:b/>
          <w:caps w:val="0"/>
          <w:sz w:val="24"/>
          <w:szCs w:val="24"/>
        </w:rPr>
      </w:pPr>
      <w:r w:rsidRPr="002F035D">
        <w:rPr>
          <w:rFonts w:ascii="Lato" w:hAnsi="Lato"/>
          <w:b/>
          <w:caps w:val="0"/>
          <w:sz w:val="24"/>
          <w:szCs w:val="24"/>
        </w:rPr>
        <w:t>HOW TO APPLY</w:t>
      </w:r>
    </w:p>
    <w:p w14:paraId="75F49C0C" w14:textId="5F4E8B7A" w:rsidR="009E23EA" w:rsidRPr="009E23EA" w:rsidRDefault="009E23EA" w:rsidP="009E23EA">
      <w:pPr>
        <w:spacing w:after="0"/>
        <w:rPr>
          <w:rFonts w:ascii="Lato" w:hAnsi="Lato"/>
          <w:sz w:val="24"/>
          <w:szCs w:val="24"/>
        </w:rPr>
      </w:pPr>
      <w:r w:rsidRPr="009E23EA">
        <w:rPr>
          <w:rFonts w:ascii="Lato" w:eastAsiaTheme="minorEastAsia" w:hAnsi="Lato"/>
          <w:sz w:val="24"/>
          <w:szCs w:val="24"/>
        </w:rPr>
        <w:t xml:space="preserve">If interested in applying for this study, please refer to the Consultant </w:t>
      </w:r>
      <w:r w:rsidR="008E7E37" w:rsidRPr="008E7E37">
        <w:rPr>
          <w:rFonts w:ascii="Lato" w:eastAsiaTheme="minorEastAsia" w:hAnsi="Lato"/>
          <w:sz w:val="24"/>
          <w:szCs w:val="24"/>
        </w:rPr>
        <w:t xml:space="preserve">technical </w:t>
      </w:r>
      <w:r w:rsidR="008E7E37">
        <w:rPr>
          <w:rFonts w:ascii="Lato" w:eastAsiaTheme="minorEastAsia" w:hAnsi="Lato"/>
          <w:sz w:val="24"/>
          <w:szCs w:val="24"/>
        </w:rPr>
        <w:t>/</w:t>
      </w:r>
      <w:r w:rsidR="008E7E37" w:rsidRPr="008E7E37">
        <w:rPr>
          <w:rFonts w:ascii="Lato" w:eastAsiaTheme="minorEastAsia" w:hAnsi="Lato"/>
          <w:sz w:val="24"/>
          <w:szCs w:val="24"/>
        </w:rPr>
        <w:t xml:space="preserve"> Financial Proposal </w:t>
      </w:r>
      <w:r w:rsidRPr="009E23EA">
        <w:rPr>
          <w:rFonts w:ascii="Lato" w:eastAsiaTheme="minorEastAsia" w:hAnsi="Lato"/>
          <w:sz w:val="24"/>
          <w:szCs w:val="24"/>
        </w:rPr>
        <w:t xml:space="preserve">and procurement instructions issued with this </w:t>
      </w:r>
      <w:proofErr w:type="spellStart"/>
      <w:r w:rsidRPr="009E23EA">
        <w:rPr>
          <w:rFonts w:ascii="Lato" w:eastAsiaTheme="minorEastAsia" w:hAnsi="Lato"/>
          <w:sz w:val="24"/>
          <w:szCs w:val="24"/>
        </w:rPr>
        <w:t>ToR</w:t>
      </w:r>
      <w:proofErr w:type="spellEnd"/>
      <w:r w:rsidRPr="009E23EA">
        <w:rPr>
          <w:rFonts w:ascii="Lato" w:eastAsiaTheme="minorEastAsia" w:hAnsi="Lato"/>
          <w:sz w:val="24"/>
          <w:szCs w:val="24"/>
        </w:rPr>
        <w:t>. Contact person and submission email: to be inserted by Save the Children before publication.</w:t>
      </w:r>
    </w:p>
    <w:p w14:paraId="44137CAF" w14:textId="228BDD71" w:rsidR="009E23EA" w:rsidRPr="002F035D" w:rsidRDefault="009E23EA" w:rsidP="002F035D">
      <w:pPr>
        <w:pStyle w:val="Heading1"/>
        <w:rPr>
          <w:rFonts w:ascii="Lato" w:hAnsi="Lato"/>
          <w:b/>
          <w:caps w:val="0"/>
          <w:sz w:val="24"/>
          <w:szCs w:val="24"/>
        </w:rPr>
      </w:pPr>
      <w:bookmarkStart w:id="18" w:name="_Toc61945699"/>
      <w:r w:rsidRPr="002F035D">
        <w:rPr>
          <w:rFonts w:ascii="Lato" w:hAnsi="Lato"/>
          <w:b/>
          <w:caps w:val="0"/>
          <w:sz w:val="24"/>
          <w:szCs w:val="24"/>
        </w:rPr>
        <w:t>Annexes</w:t>
      </w:r>
      <w:bookmarkEnd w:id="18"/>
    </w:p>
    <w:p w14:paraId="3AA31706" w14:textId="77777777" w:rsidR="009E23EA" w:rsidRPr="009E23EA" w:rsidRDefault="009E23EA" w:rsidP="009E23EA">
      <w:pPr>
        <w:rPr>
          <w:rFonts w:ascii="Lato" w:hAnsi="Lato"/>
          <w:b/>
          <w:sz w:val="24"/>
          <w:szCs w:val="24"/>
        </w:rPr>
      </w:pPr>
      <w:r w:rsidRPr="009E23EA">
        <w:rPr>
          <w:rFonts w:ascii="Lato" w:hAnsi="Lato"/>
          <w:b/>
          <w:sz w:val="24"/>
          <w:szCs w:val="24"/>
        </w:rPr>
        <w:t xml:space="preserve">Annex 1: Project </w:t>
      </w:r>
      <w:proofErr w:type="spellStart"/>
      <w:r w:rsidRPr="009E23EA">
        <w:rPr>
          <w:rFonts w:ascii="Lato" w:hAnsi="Lato"/>
          <w:b/>
          <w:sz w:val="24"/>
          <w:szCs w:val="24"/>
        </w:rPr>
        <w:t>Logframe</w:t>
      </w:r>
      <w:proofErr w:type="spellEnd"/>
    </w:p>
    <w:p w14:paraId="1DB705AB" w14:textId="77777777" w:rsidR="009E23EA" w:rsidRPr="009E23EA" w:rsidRDefault="009E23EA" w:rsidP="009E23EA">
      <w:pPr>
        <w:rPr>
          <w:rFonts w:ascii="Lato" w:hAnsi="Lato"/>
          <w:color w:val="0070C0"/>
          <w:sz w:val="24"/>
          <w:szCs w:val="24"/>
        </w:rPr>
      </w:pPr>
      <w:r w:rsidRPr="009E23EA">
        <w:rPr>
          <w:rFonts w:ascii="Lato" w:hAnsi="Lato"/>
          <w:sz w:val="24"/>
          <w:szCs w:val="24"/>
        </w:rPr>
        <w:t>Project objective: Reduce morbidity and mortality among the most vulnerable children and their families by improving equitable and inclusive access to primary healthcare, nutrition and protection services in Tawila, North Darfur.</w:t>
      </w:r>
      <w:r w:rsidRPr="009E23EA">
        <w:rPr>
          <w:rFonts w:ascii="Lato" w:hAnsi="Lato"/>
          <w:sz w:val="24"/>
          <w:szCs w:val="24"/>
        </w:rPr>
        <w:br/>
        <w:t>Nutrition Outcome 1: Contribute to improved nutrition status of vulnerable children under five and pregnant/breastfeeding women through comprehensive nutrition services in Tawila.</w:t>
      </w:r>
      <w:r w:rsidRPr="009E23EA">
        <w:rPr>
          <w:rFonts w:ascii="Lato" w:hAnsi="Lato"/>
          <w:sz w:val="24"/>
          <w:szCs w:val="24"/>
        </w:rPr>
        <w:br/>
        <w:t>Outcome indicator: (Global) N.3b – Percentage of people admitted for SAM treatment who recovered; target 78%.</w:t>
      </w:r>
      <w:r w:rsidRPr="009E23EA">
        <w:rPr>
          <w:rFonts w:ascii="Lato" w:hAnsi="Lato"/>
          <w:sz w:val="24"/>
          <w:szCs w:val="24"/>
        </w:rPr>
        <w:br/>
        <w:t>Output 1.1: Treatment services for acute malnourished children under five and PLW, including screening, referral, SAM/MAM treatment pathways, supportive supervision and CMAM capacity building.</w:t>
      </w:r>
      <w:r w:rsidRPr="009E23EA">
        <w:rPr>
          <w:rFonts w:ascii="Lato" w:hAnsi="Lato"/>
          <w:sz w:val="24"/>
          <w:szCs w:val="24"/>
        </w:rPr>
        <w:br/>
        <w:t>Output 1.2: Preventive nutrition services through IYCF counselling and support. Indicator 1.2.2: 15 technical health workers trained on IYCF. Indicator 1.2.3: 5,111 under-two children and pregnant/breastfeeding women provided with nutritious food.</w:t>
      </w:r>
      <w:r w:rsidRPr="009E23EA">
        <w:rPr>
          <w:rFonts w:ascii="Lato" w:hAnsi="Lato"/>
          <w:sz w:val="24"/>
          <w:szCs w:val="24"/>
        </w:rPr>
        <w:br/>
        <w:t xml:space="preserve">Relevant activities: IYCF counselling; BSFP+ food-based prevention; </w:t>
      </w:r>
      <w:proofErr w:type="spellStart"/>
      <w:r w:rsidRPr="009E23EA">
        <w:rPr>
          <w:rFonts w:ascii="Lato" w:hAnsi="Lato"/>
          <w:sz w:val="24"/>
          <w:szCs w:val="24"/>
        </w:rPr>
        <w:t>Assida</w:t>
      </w:r>
      <w:proofErr w:type="spellEnd"/>
      <w:r w:rsidRPr="009E23EA">
        <w:rPr>
          <w:rFonts w:ascii="Lato" w:hAnsi="Lato"/>
          <w:sz w:val="24"/>
          <w:szCs w:val="24"/>
        </w:rPr>
        <w:t xml:space="preserve"> Plus/SBC practical education; mass MUAC/oedema screening and referral; </w:t>
      </w:r>
      <w:proofErr w:type="spellStart"/>
      <w:r w:rsidRPr="009E23EA">
        <w:rPr>
          <w:rFonts w:ascii="Lato" w:hAnsi="Lato"/>
          <w:sz w:val="24"/>
          <w:szCs w:val="24"/>
        </w:rPr>
        <w:t>Assida</w:t>
      </w:r>
      <w:proofErr w:type="spellEnd"/>
      <w:r w:rsidRPr="009E23EA">
        <w:rPr>
          <w:rFonts w:ascii="Lato" w:hAnsi="Lato"/>
          <w:sz w:val="24"/>
          <w:szCs w:val="24"/>
        </w:rPr>
        <w:t xml:space="preserve"> Plus research/evaluation.</w:t>
      </w:r>
    </w:p>
    <w:p w14:paraId="11612559" w14:textId="77777777" w:rsidR="009E23EA" w:rsidRPr="009E23EA" w:rsidRDefault="009E23EA" w:rsidP="009E23EA">
      <w:pPr>
        <w:rPr>
          <w:rFonts w:ascii="Lato" w:hAnsi="Lato"/>
          <w:color w:val="0070C0"/>
          <w:sz w:val="24"/>
          <w:szCs w:val="24"/>
        </w:rPr>
      </w:pPr>
    </w:p>
    <w:p w14:paraId="56E291F6" w14:textId="77777777" w:rsidR="009E23EA" w:rsidRPr="009E23EA" w:rsidRDefault="009E23EA" w:rsidP="009E23EA">
      <w:pPr>
        <w:rPr>
          <w:rFonts w:ascii="Lato" w:hAnsi="Lato"/>
          <w:b/>
          <w:sz w:val="24"/>
          <w:szCs w:val="24"/>
        </w:rPr>
      </w:pPr>
      <w:r w:rsidRPr="009E23EA">
        <w:rPr>
          <w:rFonts w:ascii="Lato" w:hAnsi="Lato"/>
          <w:b/>
          <w:sz w:val="24"/>
          <w:szCs w:val="24"/>
        </w:rPr>
        <w:t xml:space="preserve">Annex 2: List of project documents to be consulted </w:t>
      </w:r>
    </w:p>
    <w:p w14:paraId="4D0660E9" w14:textId="77777777" w:rsidR="009E23EA" w:rsidRPr="009E23EA" w:rsidRDefault="009E23EA" w:rsidP="009E23EA">
      <w:pPr>
        <w:rPr>
          <w:rFonts w:ascii="Lato" w:hAnsi="Lato"/>
          <w:color w:val="0070C0"/>
          <w:sz w:val="24"/>
          <w:szCs w:val="24"/>
        </w:rPr>
      </w:pPr>
      <w:r w:rsidRPr="009E23EA">
        <w:rPr>
          <w:rFonts w:ascii="Lato" w:hAnsi="Lato"/>
          <w:sz w:val="24"/>
          <w:szCs w:val="24"/>
        </w:rPr>
        <w:t>1. Approved project proposal and logical framework (CBPF-SUD-25-S-INGO-35294).</w:t>
      </w:r>
      <w:r w:rsidRPr="009E23EA">
        <w:rPr>
          <w:rFonts w:ascii="Lato" w:hAnsi="Lato"/>
          <w:sz w:val="24"/>
          <w:szCs w:val="24"/>
        </w:rPr>
        <w:br/>
        <w:t>2. Project progress and final narrative reports and approved revisions.</w:t>
      </w:r>
      <w:r w:rsidRPr="009E23EA">
        <w:rPr>
          <w:rFonts w:ascii="Lato" w:hAnsi="Lato"/>
          <w:sz w:val="24"/>
          <w:szCs w:val="24"/>
        </w:rPr>
        <w:br/>
        <w:t xml:space="preserve">3. </w:t>
      </w:r>
      <w:proofErr w:type="spellStart"/>
      <w:r w:rsidRPr="009E23EA">
        <w:rPr>
          <w:rFonts w:ascii="Lato" w:hAnsi="Lato"/>
          <w:sz w:val="24"/>
          <w:szCs w:val="24"/>
        </w:rPr>
        <w:t>Assida</w:t>
      </w:r>
      <w:proofErr w:type="spellEnd"/>
      <w:r w:rsidRPr="009E23EA">
        <w:rPr>
          <w:rFonts w:ascii="Lato" w:hAnsi="Lato"/>
          <w:sz w:val="24"/>
          <w:szCs w:val="24"/>
        </w:rPr>
        <w:t xml:space="preserve"> Plus participant/patient cards, eligibility, enrolment, distribution and attendance registers.</w:t>
      </w:r>
      <w:r w:rsidRPr="009E23EA">
        <w:rPr>
          <w:rFonts w:ascii="Lato" w:hAnsi="Lato"/>
          <w:sz w:val="24"/>
          <w:szCs w:val="24"/>
        </w:rPr>
        <w:br/>
        <w:t>4. Raw and calculated anthropometric records, including MUAC/oedema, weight, height/length and any available WHZ screening/follow-up datasets and mass-screening reports.</w:t>
      </w:r>
      <w:r w:rsidRPr="009E23EA">
        <w:rPr>
          <w:rFonts w:ascii="Lato" w:hAnsi="Lato"/>
          <w:sz w:val="24"/>
          <w:szCs w:val="24"/>
        </w:rPr>
        <w:br/>
        <w:t>5. OTP/TSFP/stabilization, referral, treatment-outcome and relapse/follow-up records where available, together with information required to classify TSFP functionality by site and period.</w:t>
      </w:r>
      <w:r w:rsidRPr="009E23EA">
        <w:rPr>
          <w:rFonts w:ascii="Lato" w:hAnsi="Lato"/>
          <w:sz w:val="24"/>
          <w:szCs w:val="24"/>
        </w:rPr>
        <w:br/>
        <w:t>6. Facility, IYCF and counselling records, subject to data-quality assessment.</w:t>
      </w:r>
      <w:r w:rsidRPr="009E23EA">
        <w:rPr>
          <w:rFonts w:ascii="Lato" w:hAnsi="Lato"/>
          <w:sz w:val="24"/>
          <w:szCs w:val="24"/>
        </w:rPr>
        <w:br/>
        <w:t>7. Stock cards, ration composition/quantity records, stock-out logs, procurement/logistics files, relevant market/ingredient price information and service-interruption records.</w:t>
      </w:r>
      <w:r w:rsidRPr="009E23EA">
        <w:rPr>
          <w:rFonts w:ascii="Lato" w:hAnsi="Lato"/>
          <w:sz w:val="24"/>
          <w:szCs w:val="24"/>
        </w:rPr>
        <w:br/>
      </w:r>
      <w:r w:rsidRPr="009E23EA">
        <w:rPr>
          <w:rFonts w:ascii="Lato" w:hAnsi="Lato"/>
          <w:sz w:val="24"/>
          <w:szCs w:val="24"/>
        </w:rPr>
        <w:lastRenderedPageBreak/>
        <w:t>8. Training, competency and supportive-supervision reports.</w:t>
      </w:r>
      <w:r w:rsidRPr="009E23EA">
        <w:rPr>
          <w:rFonts w:ascii="Lato" w:hAnsi="Lato"/>
          <w:sz w:val="24"/>
          <w:szCs w:val="24"/>
        </w:rPr>
        <w:br/>
        <w:t>9. Accountability/community-feedback and complaints data relevant to the nutrition intervention.</w:t>
      </w:r>
      <w:r w:rsidRPr="009E23EA">
        <w:rPr>
          <w:rFonts w:ascii="Lato" w:hAnsi="Lato"/>
          <w:sz w:val="24"/>
          <w:szCs w:val="24"/>
        </w:rPr>
        <w:br/>
        <w:t xml:space="preserve">10. Approved programme budgets, expenditure and cost-allocation records relevant to </w:t>
      </w:r>
      <w:proofErr w:type="spellStart"/>
      <w:r w:rsidRPr="009E23EA">
        <w:rPr>
          <w:rFonts w:ascii="Lato" w:hAnsi="Lato"/>
          <w:sz w:val="24"/>
          <w:szCs w:val="24"/>
        </w:rPr>
        <w:t>Assida</w:t>
      </w:r>
      <w:proofErr w:type="spellEnd"/>
      <w:r w:rsidRPr="009E23EA">
        <w:rPr>
          <w:rFonts w:ascii="Lato" w:hAnsi="Lato"/>
          <w:sz w:val="24"/>
          <w:szCs w:val="24"/>
        </w:rPr>
        <w:t xml:space="preserve"> Plus.</w:t>
      </w:r>
      <w:r w:rsidRPr="009E23EA">
        <w:rPr>
          <w:rFonts w:ascii="Lato" w:hAnsi="Lato"/>
          <w:sz w:val="24"/>
          <w:szCs w:val="24"/>
        </w:rPr>
        <w:br/>
        <w:t>11. Where applicable, local production/preparation quality-assurance and laboratory results, operational records, staffing/training records, production volumes, facilities supplied, regulatory/sector documentation and cost information.</w:t>
      </w:r>
      <w:r w:rsidRPr="009E23EA">
        <w:rPr>
          <w:rFonts w:ascii="Lato" w:hAnsi="Lato"/>
          <w:sz w:val="24"/>
          <w:szCs w:val="24"/>
        </w:rPr>
        <w:br/>
        <w:t>12. Applicable national nutrition/CMAM/IYCF protocols and Save the Children technical, safeguarding, ethics and data-protection guidance.</w:t>
      </w:r>
    </w:p>
    <w:p w14:paraId="08C09C9F" w14:textId="77777777" w:rsidR="009E23EA" w:rsidRPr="009E23EA" w:rsidRDefault="009E23EA" w:rsidP="009E23EA">
      <w:pPr>
        <w:rPr>
          <w:rFonts w:ascii="Lato" w:hAnsi="Lato"/>
          <w:b/>
          <w:sz w:val="24"/>
          <w:szCs w:val="24"/>
        </w:rPr>
      </w:pPr>
    </w:p>
    <w:p w14:paraId="6045284C" w14:textId="77777777" w:rsidR="009E23EA" w:rsidRPr="009E23EA" w:rsidRDefault="009E23EA" w:rsidP="009E23EA">
      <w:pPr>
        <w:rPr>
          <w:rFonts w:ascii="Lato" w:hAnsi="Lato"/>
          <w:b/>
          <w:sz w:val="24"/>
          <w:szCs w:val="24"/>
        </w:rPr>
      </w:pPr>
      <w:r w:rsidRPr="009E23EA">
        <w:rPr>
          <w:rFonts w:ascii="Lato" w:hAnsi="Lato"/>
          <w:b/>
          <w:sz w:val="24"/>
          <w:szCs w:val="24"/>
        </w:rPr>
        <w:t xml:space="preserve">Annex 3: SC Steering Committee Roles and Responsibilities </w:t>
      </w:r>
    </w:p>
    <w:p w14:paraId="5827CFB6" w14:textId="77777777" w:rsidR="009E23EA" w:rsidRPr="009E23EA" w:rsidRDefault="009E23EA" w:rsidP="009E23EA">
      <w:pPr>
        <w:rPr>
          <w:rFonts w:ascii="Lato" w:hAnsi="Lato"/>
          <w:color w:val="0070C0"/>
          <w:sz w:val="24"/>
          <w:szCs w:val="24"/>
        </w:rPr>
      </w:pPr>
      <w:r w:rsidRPr="009E23EA">
        <w:rPr>
          <w:rFonts w:ascii="Lato" w:hAnsi="Lato"/>
          <w:sz w:val="24"/>
          <w:szCs w:val="24"/>
        </w:rPr>
        <w:t>The Study Working Group/Steering function will be led through Save the Children Sudan and will: provide strategic oversight and protect the intended use of the study; review and approve the inception design, evidence-gap matrix, sampling, tools and analysis plan through the Study Project Manager; ensure ethical, safeguarding and data-protection requirements are addressed; facilitate timely access to participant/patient cards, programme documentation, sites and stakeholders; monitor material risks and protocol deviations; coordinate consolidated technical feedback; review interpretation for factual accuracy without suppressing independent findings; support stakeholder validation and responsible dissemination; and oversee development of a time-bound Study Response Plan. Specialist Save the Children advisers may participate as required, and partner/government stakeholders may be engaged for technical consultation and validation. Members must declare relevant conflicts of interest and preserve the confidentiality of participant-level data.</w:t>
      </w:r>
    </w:p>
    <w:p w14:paraId="0A586CBC" w14:textId="77777777" w:rsidR="009E23EA" w:rsidRPr="009E23EA" w:rsidRDefault="009E23EA" w:rsidP="009E23EA">
      <w:pPr>
        <w:rPr>
          <w:rFonts w:ascii="Lato" w:hAnsi="Lato"/>
          <w:b/>
          <w:sz w:val="24"/>
          <w:szCs w:val="24"/>
        </w:rPr>
      </w:pPr>
    </w:p>
    <w:p w14:paraId="7D50262F" w14:textId="77777777" w:rsidR="009E23EA" w:rsidRPr="009E23EA" w:rsidRDefault="009E23EA" w:rsidP="009E23EA">
      <w:pPr>
        <w:rPr>
          <w:rFonts w:ascii="Lato" w:hAnsi="Lato"/>
          <w:b/>
          <w:sz w:val="24"/>
          <w:szCs w:val="24"/>
        </w:rPr>
      </w:pPr>
      <w:r w:rsidRPr="009E23EA">
        <w:rPr>
          <w:rFonts w:ascii="Lato" w:hAnsi="Lato"/>
          <w:b/>
          <w:sz w:val="24"/>
          <w:szCs w:val="24"/>
        </w:rPr>
        <w:t>Annex 4: SCI Evaluation Scoring for perspective consultants</w:t>
      </w:r>
    </w:p>
    <w:tbl>
      <w:tblPr>
        <w:tblW w:w="9062" w:type="dxa"/>
        <w:tblLayout w:type="fixed"/>
        <w:tblLook w:val="04A0" w:firstRow="1" w:lastRow="0" w:firstColumn="1" w:lastColumn="0" w:noHBand="0" w:noVBand="1"/>
      </w:tblPr>
      <w:tblGrid>
        <w:gridCol w:w="1404"/>
        <w:gridCol w:w="7658"/>
      </w:tblGrid>
      <w:tr w:rsidR="009E23EA" w:rsidRPr="009E23EA" w14:paraId="5514E286" w14:textId="77777777" w:rsidTr="00E32618">
        <w:trPr>
          <w:trHeight w:val="60"/>
        </w:trPr>
        <w:tc>
          <w:tcPr>
            <w:tcW w:w="1404" w:type="dxa"/>
            <w:tcBorders>
              <w:top w:val="single" w:sz="8" w:space="0" w:color="000000"/>
              <w:left w:val="single" w:sz="8" w:space="0" w:color="000000"/>
              <w:bottom w:val="single" w:sz="8" w:space="0" w:color="000000"/>
              <w:right w:val="single" w:sz="4" w:space="0" w:color="000000"/>
            </w:tcBorders>
            <w:vAlign w:val="bottom"/>
          </w:tcPr>
          <w:p w14:paraId="06D5DAA1" w14:textId="77777777" w:rsidR="009E23EA" w:rsidRPr="009E23EA" w:rsidRDefault="009E23EA" w:rsidP="009E23EA">
            <w:pPr>
              <w:spacing w:after="0" w:line="240" w:lineRule="auto"/>
              <w:rPr>
                <w:rFonts w:ascii="Lato" w:eastAsia="Times New Roman" w:hAnsi="Lato" w:cs="Calibri"/>
                <w:b/>
                <w:bCs/>
                <w:color w:val="FF0000"/>
                <w:sz w:val="24"/>
                <w:szCs w:val="24"/>
                <w:lang w:eastAsia="en-GB"/>
              </w:rPr>
            </w:pPr>
            <w:r w:rsidRPr="009E23EA">
              <w:rPr>
                <w:rFonts w:ascii="Lato" w:eastAsia="Times New Roman" w:hAnsi="Lato" w:cs="Calibri"/>
                <w:b/>
                <w:bCs/>
                <w:sz w:val="24"/>
                <w:szCs w:val="24"/>
                <w:lang w:eastAsia="en-GB"/>
              </w:rPr>
              <w:t>Category</w:t>
            </w:r>
          </w:p>
        </w:tc>
        <w:tc>
          <w:tcPr>
            <w:tcW w:w="7657" w:type="dxa"/>
            <w:tcBorders>
              <w:top w:val="single" w:sz="8" w:space="0" w:color="000000"/>
              <w:bottom w:val="single" w:sz="8" w:space="0" w:color="000000"/>
              <w:right w:val="single" w:sz="4" w:space="0" w:color="000000"/>
            </w:tcBorders>
            <w:vAlign w:val="bottom"/>
          </w:tcPr>
          <w:p w14:paraId="55310836" w14:textId="77777777" w:rsidR="009E23EA" w:rsidRPr="009E23EA" w:rsidRDefault="009E23EA" w:rsidP="009E23EA">
            <w:pPr>
              <w:spacing w:after="0" w:line="240" w:lineRule="auto"/>
              <w:jc w:val="center"/>
              <w:rPr>
                <w:rFonts w:ascii="Lato" w:eastAsia="Times New Roman" w:hAnsi="Lato" w:cs="Calibri"/>
                <w:b/>
                <w:bCs/>
                <w:color w:val="FF0000"/>
                <w:sz w:val="24"/>
                <w:szCs w:val="24"/>
                <w:lang w:eastAsia="en-GB"/>
              </w:rPr>
            </w:pPr>
            <w:r w:rsidRPr="009E23EA">
              <w:rPr>
                <w:rFonts w:ascii="Lato" w:eastAsia="Times New Roman" w:hAnsi="Lato" w:cs="Calibri"/>
                <w:b/>
                <w:bCs/>
                <w:sz w:val="24"/>
                <w:szCs w:val="24"/>
                <w:lang w:eastAsia="en-GB"/>
              </w:rPr>
              <w:t xml:space="preserve">Evaluation Quality Criteria </w:t>
            </w:r>
            <w:r w:rsidRPr="009E23EA">
              <w:rPr>
                <w:rFonts w:ascii="Lato" w:eastAsia="Times New Roman" w:hAnsi="Lato" w:cs="Calibri"/>
                <w:bCs/>
                <w:sz w:val="24"/>
                <w:szCs w:val="24"/>
                <w:lang w:eastAsia="en-GB"/>
              </w:rPr>
              <w:t>(</w:t>
            </w:r>
            <w:r w:rsidRPr="009E23EA">
              <w:rPr>
                <w:rFonts w:ascii="Lato" w:eastAsia="Times New Roman" w:hAnsi="Lato" w:cs="Calibri"/>
                <w:sz w:val="24"/>
                <w:szCs w:val="24"/>
                <w:lang w:eastAsia="en-GB"/>
              </w:rPr>
              <w:t>used</w:t>
            </w:r>
            <w:r w:rsidRPr="009E23EA">
              <w:rPr>
                <w:rFonts w:ascii="Lato" w:eastAsia="Times New Roman" w:hAnsi="Lato" w:cs="Calibri"/>
                <w:bCs/>
                <w:sz w:val="24"/>
                <w:szCs w:val="24"/>
                <w:lang w:eastAsia="en-GB"/>
              </w:rPr>
              <w:t xml:space="preserve"> for internal scoring after completion)</w:t>
            </w:r>
          </w:p>
        </w:tc>
      </w:tr>
      <w:tr w:rsidR="009E23EA" w:rsidRPr="009E23EA" w14:paraId="0FF9CB6C" w14:textId="77777777" w:rsidTr="00E32618">
        <w:trPr>
          <w:trHeight w:val="60"/>
        </w:trPr>
        <w:tc>
          <w:tcPr>
            <w:tcW w:w="1404" w:type="dxa"/>
            <w:vMerge w:val="restart"/>
            <w:tcBorders>
              <w:left w:val="single" w:sz="8" w:space="0" w:color="000000"/>
              <w:right w:val="single" w:sz="4" w:space="0" w:color="000000"/>
            </w:tcBorders>
            <w:textDirection w:val="btLr"/>
            <w:vAlign w:val="center"/>
          </w:tcPr>
          <w:p w14:paraId="1D42FF88" w14:textId="77777777" w:rsidR="009E23EA" w:rsidRPr="009E23EA" w:rsidRDefault="009E23EA" w:rsidP="009E23EA">
            <w:pPr>
              <w:spacing w:after="0" w:line="240" w:lineRule="auto"/>
              <w:jc w:val="center"/>
              <w:rPr>
                <w:rFonts w:ascii="Lato" w:eastAsia="Times New Roman" w:hAnsi="Lato" w:cs="Calibri"/>
                <w:b/>
                <w:bCs/>
                <w:color w:val="000000"/>
                <w:sz w:val="24"/>
                <w:szCs w:val="24"/>
                <w:lang w:eastAsia="en-GB"/>
              </w:rPr>
            </w:pPr>
            <w:r w:rsidRPr="009E23EA">
              <w:rPr>
                <w:rFonts w:ascii="Lato" w:eastAsia="Times New Roman" w:hAnsi="Lato" w:cs="Calibri"/>
                <w:b/>
                <w:bCs/>
                <w:sz w:val="24"/>
                <w:szCs w:val="24"/>
                <w:lang w:eastAsia="en-GB"/>
              </w:rPr>
              <w:t>Purpose, Design and Methods</w:t>
            </w:r>
          </w:p>
        </w:tc>
        <w:tc>
          <w:tcPr>
            <w:tcW w:w="7657" w:type="dxa"/>
            <w:tcBorders>
              <w:bottom w:val="single" w:sz="4" w:space="0" w:color="000000"/>
              <w:right w:val="single" w:sz="4" w:space="0" w:color="000000"/>
            </w:tcBorders>
            <w:vAlign w:val="center"/>
          </w:tcPr>
          <w:p w14:paraId="2E51B782"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 Does the evaluation report clearly identify the evaluation's purpose (including its key objectives, questions and criteria) as set out in the evaluation's Terms of Reference (</w:t>
            </w:r>
            <w:proofErr w:type="spellStart"/>
            <w:r w:rsidRPr="009E23EA">
              <w:rPr>
                <w:rFonts w:ascii="Lato" w:eastAsia="Times New Roman" w:hAnsi="Lato" w:cs="Calibri"/>
                <w:bCs/>
                <w:sz w:val="24"/>
                <w:szCs w:val="24"/>
                <w:lang w:eastAsia="en-GB"/>
              </w:rPr>
              <w:t>ToR</w:t>
            </w:r>
            <w:proofErr w:type="spellEnd"/>
            <w:r w:rsidRPr="009E23EA">
              <w:rPr>
                <w:rFonts w:ascii="Lato" w:eastAsia="Times New Roman" w:hAnsi="Lato" w:cs="Calibri"/>
                <w:bCs/>
                <w:sz w:val="24"/>
                <w:szCs w:val="24"/>
                <w:lang w:eastAsia="en-GB"/>
              </w:rPr>
              <w:t>)?</w:t>
            </w:r>
          </w:p>
        </w:tc>
      </w:tr>
      <w:tr w:rsidR="009E23EA" w:rsidRPr="009E23EA" w14:paraId="4E23276F" w14:textId="77777777" w:rsidTr="00E32618">
        <w:trPr>
          <w:trHeight w:val="60"/>
        </w:trPr>
        <w:tc>
          <w:tcPr>
            <w:tcW w:w="1404" w:type="dxa"/>
            <w:vMerge/>
            <w:vAlign w:val="center"/>
          </w:tcPr>
          <w:p w14:paraId="7CFDB5DD"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2C36D200"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2. Are the data collection and analysis methods a clearly justified approach to addressing the evaluation's purpose and questions? (Do they provide valid, reliable and ethical data?)</w:t>
            </w:r>
          </w:p>
        </w:tc>
      </w:tr>
      <w:tr w:rsidR="009E23EA" w:rsidRPr="009E23EA" w14:paraId="0D60F089" w14:textId="77777777" w:rsidTr="00E32618">
        <w:trPr>
          <w:trHeight w:val="60"/>
        </w:trPr>
        <w:tc>
          <w:tcPr>
            <w:tcW w:w="1404" w:type="dxa"/>
            <w:vMerge/>
            <w:vAlign w:val="center"/>
          </w:tcPr>
          <w:p w14:paraId="35ACBA92"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3E7E466F"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3. Is the methodology suitably tailored to the context and population groups to which the evaluation questions relate (e.g. re gender, disability, socio-economic status, geographic location, cultural context, ethnicity)?</w:t>
            </w:r>
          </w:p>
        </w:tc>
      </w:tr>
      <w:tr w:rsidR="009E23EA" w:rsidRPr="009E23EA" w14:paraId="60F73FA7" w14:textId="77777777" w:rsidTr="00E32618">
        <w:trPr>
          <w:trHeight w:val="60"/>
        </w:trPr>
        <w:tc>
          <w:tcPr>
            <w:tcW w:w="1404" w:type="dxa"/>
            <w:vMerge/>
            <w:vAlign w:val="center"/>
          </w:tcPr>
          <w:p w14:paraId="5AF873F0"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0884928F"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4. Is the size and composition of the sample in proportion to the conclusions sought by the evaluation?</w:t>
            </w:r>
          </w:p>
        </w:tc>
      </w:tr>
      <w:tr w:rsidR="009E23EA" w:rsidRPr="009E23EA" w14:paraId="3641D37A" w14:textId="77777777" w:rsidTr="00E32618">
        <w:trPr>
          <w:trHeight w:val="60"/>
        </w:trPr>
        <w:tc>
          <w:tcPr>
            <w:tcW w:w="1404" w:type="dxa"/>
            <w:vMerge/>
            <w:vAlign w:val="center"/>
          </w:tcPr>
          <w:p w14:paraId="0851E35B"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488BCCEF"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5. Does the evaluation build on what is already known, for example existing tried and tested frameworks and tools, existing data/evidence, and previous lessons learned?</w:t>
            </w:r>
          </w:p>
        </w:tc>
      </w:tr>
      <w:tr w:rsidR="009E23EA" w:rsidRPr="009E23EA" w14:paraId="32C27F98" w14:textId="77777777" w:rsidTr="00E32618">
        <w:trPr>
          <w:trHeight w:val="60"/>
        </w:trPr>
        <w:tc>
          <w:tcPr>
            <w:tcW w:w="1404" w:type="dxa"/>
            <w:vMerge/>
            <w:vAlign w:val="center"/>
          </w:tcPr>
          <w:p w14:paraId="165AC351"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3303C5A8"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6. Are the methods used to collect and analyse data and any limitations of the quality of the data and collection methodology explained and justified?</w:t>
            </w:r>
          </w:p>
        </w:tc>
      </w:tr>
      <w:tr w:rsidR="009E23EA" w:rsidRPr="009E23EA" w14:paraId="4ED7E942" w14:textId="77777777" w:rsidTr="00E32618">
        <w:trPr>
          <w:trHeight w:val="60"/>
        </w:trPr>
        <w:tc>
          <w:tcPr>
            <w:tcW w:w="1404" w:type="dxa"/>
            <w:vMerge/>
            <w:vAlign w:val="center"/>
          </w:tcPr>
          <w:p w14:paraId="6AA5C195"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8" w:space="0" w:color="000000"/>
              <w:right w:val="single" w:sz="4" w:space="0" w:color="000000"/>
            </w:tcBorders>
            <w:vAlign w:val="center"/>
          </w:tcPr>
          <w:p w14:paraId="74006963"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7. Has any personal and professional influence or potential bias among those collecting or analysing data been recorded and addressed or mitigated ethically?</w:t>
            </w:r>
          </w:p>
        </w:tc>
      </w:tr>
      <w:tr w:rsidR="009E23EA" w:rsidRPr="009E23EA" w14:paraId="10D0DAFB" w14:textId="77777777" w:rsidTr="00E32618">
        <w:trPr>
          <w:trHeight w:val="60"/>
        </w:trPr>
        <w:tc>
          <w:tcPr>
            <w:tcW w:w="1404" w:type="dxa"/>
            <w:vMerge w:val="restart"/>
            <w:tcBorders>
              <w:left w:val="single" w:sz="8" w:space="0" w:color="000000"/>
              <w:right w:val="single" w:sz="4" w:space="0" w:color="000000"/>
            </w:tcBorders>
            <w:textDirection w:val="btLr"/>
            <w:vAlign w:val="center"/>
          </w:tcPr>
          <w:p w14:paraId="4C1C7134" w14:textId="77777777" w:rsidR="009E23EA" w:rsidRPr="009E23EA" w:rsidRDefault="009E23EA" w:rsidP="009E23EA">
            <w:pPr>
              <w:spacing w:after="0" w:line="240" w:lineRule="auto"/>
              <w:jc w:val="center"/>
              <w:rPr>
                <w:rFonts w:ascii="Lato" w:eastAsia="Times New Roman" w:hAnsi="Lato" w:cs="Calibri"/>
                <w:b/>
                <w:bCs/>
                <w:color w:val="000000"/>
                <w:sz w:val="24"/>
                <w:szCs w:val="24"/>
                <w:lang w:eastAsia="en-GB"/>
              </w:rPr>
            </w:pPr>
            <w:r w:rsidRPr="009E23EA">
              <w:rPr>
                <w:rFonts w:ascii="Lato" w:eastAsia="Times New Roman" w:hAnsi="Lato" w:cs="Calibri"/>
                <w:b/>
                <w:bCs/>
                <w:sz w:val="24"/>
                <w:szCs w:val="24"/>
                <w:lang w:eastAsia="en-GB"/>
              </w:rPr>
              <w:t>Analysis and Findings</w:t>
            </w:r>
          </w:p>
        </w:tc>
        <w:tc>
          <w:tcPr>
            <w:tcW w:w="7657" w:type="dxa"/>
            <w:tcBorders>
              <w:bottom w:val="single" w:sz="4" w:space="0" w:color="000000"/>
              <w:right w:val="single" w:sz="4" w:space="0" w:color="000000"/>
            </w:tcBorders>
            <w:vAlign w:val="center"/>
          </w:tcPr>
          <w:p w14:paraId="7A2FA4C4"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8. If evaluating impact, is a point of comparison used to show that change has happened (</w:t>
            </w:r>
            <w:proofErr w:type="spellStart"/>
            <w:r w:rsidRPr="009E23EA">
              <w:rPr>
                <w:rFonts w:ascii="Lato" w:eastAsia="Times New Roman" w:hAnsi="Lato" w:cs="Calibri"/>
                <w:bCs/>
                <w:sz w:val="24"/>
                <w:szCs w:val="24"/>
                <w:lang w:eastAsia="en-GB"/>
              </w:rPr>
              <w:t>eg.</w:t>
            </w:r>
            <w:proofErr w:type="spellEnd"/>
            <w:r w:rsidRPr="009E23EA">
              <w:rPr>
                <w:rFonts w:ascii="Lato" w:eastAsia="Times New Roman" w:hAnsi="Lato" w:cs="Calibri"/>
                <w:bCs/>
                <w:sz w:val="24"/>
                <w:szCs w:val="24"/>
                <w:lang w:eastAsia="en-GB"/>
              </w:rPr>
              <w:t xml:space="preserve"> a baseline, a counterfactual, comparison with a similar group)? </w:t>
            </w:r>
          </w:p>
        </w:tc>
      </w:tr>
      <w:tr w:rsidR="009E23EA" w:rsidRPr="009E23EA" w14:paraId="223B846C" w14:textId="77777777" w:rsidTr="00E32618">
        <w:trPr>
          <w:trHeight w:val="60"/>
        </w:trPr>
        <w:tc>
          <w:tcPr>
            <w:tcW w:w="1404" w:type="dxa"/>
            <w:vMerge/>
            <w:vAlign w:val="center"/>
          </w:tcPr>
          <w:p w14:paraId="376D98B0"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0287790C"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 xml:space="preserve">9. Is the explanation of how (e.g. theory of change, </w:t>
            </w:r>
            <w:proofErr w:type="spellStart"/>
            <w:r w:rsidRPr="009E23EA">
              <w:rPr>
                <w:rFonts w:ascii="Lato" w:eastAsia="Times New Roman" w:hAnsi="Lato" w:cs="Calibri"/>
                <w:bCs/>
                <w:sz w:val="24"/>
                <w:szCs w:val="24"/>
                <w:lang w:eastAsia="en-GB"/>
              </w:rPr>
              <w:t>logframe</w:t>
            </w:r>
            <w:proofErr w:type="spellEnd"/>
            <w:r w:rsidRPr="009E23EA">
              <w:rPr>
                <w:rFonts w:ascii="Lato" w:eastAsia="Times New Roman" w:hAnsi="Lato" w:cs="Calibri"/>
                <w:bCs/>
                <w:sz w:val="24"/>
                <w:szCs w:val="24"/>
                <w:lang w:eastAsia="en-GB"/>
              </w:rPr>
              <w:t xml:space="preserve">, activities) the intervention contributes to change explored?  </w:t>
            </w:r>
          </w:p>
        </w:tc>
      </w:tr>
      <w:tr w:rsidR="009E23EA" w:rsidRPr="009E23EA" w14:paraId="7A735640" w14:textId="77777777" w:rsidTr="00E32618">
        <w:trPr>
          <w:trHeight w:val="60"/>
        </w:trPr>
        <w:tc>
          <w:tcPr>
            <w:tcW w:w="1404" w:type="dxa"/>
            <w:vMerge/>
            <w:vAlign w:val="center"/>
          </w:tcPr>
          <w:p w14:paraId="6053EC84"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0EA56729"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10. Is the data well triangulated, such as by using different data collection methods, types of data and stakeholder perspectives?</w:t>
            </w:r>
          </w:p>
        </w:tc>
      </w:tr>
      <w:tr w:rsidR="009E23EA" w:rsidRPr="009E23EA" w14:paraId="0181774C" w14:textId="77777777" w:rsidTr="00E32618">
        <w:trPr>
          <w:trHeight w:val="60"/>
        </w:trPr>
        <w:tc>
          <w:tcPr>
            <w:tcW w:w="1404" w:type="dxa"/>
            <w:vMerge/>
            <w:vAlign w:val="center"/>
          </w:tcPr>
          <w:p w14:paraId="35C0C498"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3F42D210"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11. Are alternative factors (</w:t>
            </w:r>
            <w:proofErr w:type="spellStart"/>
            <w:r w:rsidRPr="009E23EA">
              <w:rPr>
                <w:rFonts w:ascii="Lato" w:eastAsia="Times New Roman" w:hAnsi="Lato" w:cs="Calibri"/>
                <w:bCs/>
                <w:sz w:val="24"/>
                <w:szCs w:val="24"/>
                <w:lang w:eastAsia="en-GB"/>
              </w:rPr>
              <w:t>eg.</w:t>
            </w:r>
            <w:proofErr w:type="spellEnd"/>
            <w:r w:rsidRPr="009E23EA">
              <w:rPr>
                <w:rFonts w:ascii="Lato" w:eastAsia="Times New Roman" w:hAnsi="Lato" w:cs="Calibri"/>
                <w:bCs/>
                <w:sz w:val="24"/>
                <w:szCs w:val="24"/>
                <w:lang w:eastAsia="en-GB"/>
              </w:rPr>
              <w:t xml:space="preserve"> the contribution of other actors) considered to explain the observed result alongside an intervention’s contribution?</w:t>
            </w:r>
          </w:p>
        </w:tc>
      </w:tr>
      <w:tr w:rsidR="009E23EA" w:rsidRPr="009E23EA" w14:paraId="31DBADA6" w14:textId="77777777" w:rsidTr="00E32618">
        <w:trPr>
          <w:trHeight w:val="60"/>
        </w:trPr>
        <w:tc>
          <w:tcPr>
            <w:tcW w:w="1404" w:type="dxa"/>
            <w:vMerge/>
            <w:vAlign w:val="center"/>
          </w:tcPr>
          <w:p w14:paraId="5ECA5D06"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145F94C9"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12. Are unintended and unexpected changes (positive or negative) identified and explained?</w:t>
            </w:r>
          </w:p>
        </w:tc>
      </w:tr>
      <w:tr w:rsidR="009E23EA" w:rsidRPr="009E23EA" w14:paraId="56D432BC" w14:textId="77777777" w:rsidTr="00E32618">
        <w:trPr>
          <w:trHeight w:val="60"/>
        </w:trPr>
        <w:tc>
          <w:tcPr>
            <w:tcW w:w="1404" w:type="dxa"/>
            <w:vMerge/>
            <w:vAlign w:val="center"/>
          </w:tcPr>
          <w:p w14:paraId="53A18FD9"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781849CD"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13. Are the perspectives of children &amp; communities included in the evidence, including the most deprived and marginalised? Note: For evaluations focused on young children, caregiver perspectives are adequate instead.</w:t>
            </w:r>
          </w:p>
        </w:tc>
      </w:tr>
      <w:tr w:rsidR="009E23EA" w:rsidRPr="009E23EA" w14:paraId="56D94444" w14:textId="77777777" w:rsidTr="00E32618">
        <w:trPr>
          <w:trHeight w:val="60"/>
        </w:trPr>
        <w:tc>
          <w:tcPr>
            <w:tcW w:w="1404" w:type="dxa"/>
            <w:vMerge/>
            <w:vAlign w:val="center"/>
          </w:tcPr>
          <w:p w14:paraId="25AB3A7A"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34EF2E8A"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14. Are the findings disaggregated according to sex, disability and other relevant social differences?</w:t>
            </w:r>
          </w:p>
        </w:tc>
      </w:tr>
      <w:tr w:rsidR="009E23EA" w:rsidRPr="009E23EA" w14:paraId="161B4A80" w14:textId="77777777" w:rsidTr="00E32618">
        <w:trPr>
          <w:trHeight w:val="60"/>
        </w:trPr>
        <w:tc>
          <w:tcPr>
            <w:tcW w:w="1404" w:type="dxa"/>
            <w:vMerge/>
            <w:vAlign w:val="center"/>
          </w:tcPr>
          <w:p w14:paraId="681CC043"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3208C932"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15. Is there a clear logical link between the data that was collected and analysed, and the conclusions and recommendations presented?</w:t>
            </w:r>
          </w:p>
        </w:tc>
      </w:tr>
      <w:tr w:rsidR="009E23EA" w:rsidRPr="009E23EA" w14:paraId="2A90728A" w14:textId="77777777" w:rsidTr="00E32618">
        <w:trPr>
          <w:trHeight w:val="60"/>
        </w:trPr>
        <w:tc>
          <w:tcPr>
            <w:tcW w:w="1404" w:type="dxa"/>
            <w:vMerge/>
            <w:vAlign w:val="center"/>
          </w:tcPr>
          <w:p w14:paraId="3005C0FB"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67C924AA"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16. Are conflicting findings and divergent perspectives presented and explained in the analysis and conclusions?</w:t>
            </w:r>
          </w:p>
        </w:tc>
      </w:tr>
      <w:tr w:rsidR="009E23EA" w:rsidRPr="009E23EA" w14:paraId="6C8F8731" w14:textId="77777777" w:rsidTr="00E32618">
        <w:trPr>
          <w:trHeight w:val="60"/>
        </w:trPr>
        <w:tc>
          <w:tcPr>
            <w:tcW w:w="1404" w:type="dxa"/>
            <w:vMerge/>
            <w:vAlign w:val="center"/>
          </w:tcPr>
          <w:p w14:paraId="0286D760"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8" w:space="0" w:color="000000"/>
              <w:right w:val="single" w:sz="4" w:space="0" w:color="000000"/>
            </w:tcBorders>
            <w:vAlign w:val="center"/>
          </w:tcPr>
          <w:p w14:paraId="0A013D0B"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17. Are the findings and conclusions of the assessment shared with and validated by a range of key stakeholders (</w:t>
            </w:r>
            <w:proofErr w:type="spellStart"/>
            <w:r w:rsidRPr="009E23EA">
              <w:rPr>
                <w:rFonts w:ascii="Lato" w:eastAsia="Times New Roman" w:hAnsi="Lato" w:cs="Calibri"/>
                <w:bCs/>
                <w:sz w:val="24"/>
                <w:szCs w:val="24"/>
                <w:lang w:eastAsia="en-GB"/>
              </w:rPr>
              <w:t>eg.</w:t>
            </w:r>
            <w:proofErr w:type="spellEnd"/>
            <w:r w:rsidRPr="009E23EA">
              <w:rPr>
                <w:rFonts w:ascii="Lato" w:eastAsia="Times New Roman" w:hAnsi="Lato" w:cs="Calibri"/>
                <w:bCs/>
                <w:sz w:val="24"/>
                <w:szCs w:val="24"/>
                <w:lang w:eastAsia="en-GB"/>
              </w:rPr>
              <w:t xml:space="preserve"> communities, partners, Save the Children staff)?</w:t>
            </w:r>
          </w:p>
        </w:tc>
      </w:tr>
      <w:tr w:rsidR="009E23EA" w:rsidRPr="009E23EA" w14:paraId="4918E7B9" w14:textId="77777777" w:rsidTr="00E32618">
        <w:trPr>
          <w:trHeight w:val="60"/>
        </w:trPr>
        <w:tc>
          <w:tcPr>
            <w:tcW w:w="1404" w:type="dxa"/>
            <w:vMerge w:val="restart"/>
            <w:tcBorders>
              <w:left w:val="single" w:sz="8" w:space="0" w:color="000000"/>
              <w:right w:val="single" w:sz="4" w:space="0" w:color="000000"/>
            </w:tcBorders>
            <w:textDirection w:val="btLr"/>
            <w:vAlign w:val="center"/>
          </w:tcPr>
          <w:p w14:paraId="59425C79" w14:textId="77777777" w:rsidR="009E23EA" w:rsidRPr="009E23EA" w:rsidRDefault="009E23EA" w:rsidP="009E23EA">
            <w:pPr>
              <w:spacing w:after="0" w:line="240" w:lineRule="auto"/>
              <w:jc w:val="center"/>
              <w:rPr>
                <w:rFonts w:ascii="Lato" w:eastAsia="Times New Roman" w:hAnsi="Lato" w:cs="Calibri"/>
                <w:b/>
                <w:bCs/>
                <w:color w:val="000000"/>
                <w:sz w:val="24"/>
                <w:szCs w:val="24"/>
                <w:lang w:eastAsia="en-GB"/>
              </w:rPr>
            </w:pPr>
            <w:r w:rsidRPr="009E23EA">
              <w:rPr>
                <w:rFonts w:ascii="Lato" w:eastAsia="Times New Roman" w:hAnsi="Lato" w:cs="Calibri"/>
                <w:b/>
                <w:bCs/>
                <w:sz w:val="24"/>
                <w:szCs w:val="24"/>
                <w:lang w:eastAsia="en-GB"/>
              </w:rPr>
              <w:t>Communication and Use</w:t>
            </w:r>
          </w:p>
        </w:tc>
        <w:tc>
          <w:tcPr>
            <w:tcW w:w="7657" w:type="dxa"/>
            <w:tcBorders>
              <w:bottom w:val="single" w:sz="4" w:space="0" w:color="000000"/>
              <w:right w:val="single" w:sz="4" w:space="0" w:color="000000"/>
            </w:tcBorders>
            <w:vAlign w:val="center"/>
          </w:tcPr>
          <w:p w14:paraId="61E27E6C"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18. Is the analysis and interpretation of the data well communicated through accessible language and helpful visuals (diagrams, graphs, tables as needed)?</w:t>
            </w:r>
          </w:p>
        </w:tc>
      </w:tr>
      <w:tr w:rsidR="009E23EA" w:rsidRPr="009E23EA" w14:paraId="732C31AE" w14:textId="77777777" w:rsidTr="00E32618">
        <w:trPr>
          <w:trHeight w:val="235"/>
        </w:trPr>
        <w:tc>
          <w:tcPr>
            <w:tcW w:w="1404" w:type="dxa"/>
            <w:vMerge/>
            <w:vAlign w:val="center"/>
          </w:tcPr>
          <w:p w14:paraId="5B7E9306"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4" w:space="0" w:color="000000"/>
              <w:right w:val="single" w:sz="4" w:space="0" w:color="000000"/>
            </w:tcBorders>
            <w:vAlign w:val="center"/>
          </w:tcPr>
          <w:p w14:paraId="21DB3FD2"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 xml:space="preserve">19. Are references, annexes and links included that provide additional relevant data, analysis or references (including key documents and which individuals/stakeholders were involved)? </w:t>
            </w:r>
          </w:p>
        </w:tc>
      </w:tr>
      <w:tr w:rsidR="009E23EA" w:rsidRPr="009E23EA" w14:paraId="5E08A3EB" w14:textId="77777777" w:rsidTr="00E32618">
        <w:trPr>
          <w:trHeight w:val="517"/>
        </w:trPr>
        <w:tc>
          <w:tcPr>
            <w:tcW w:w="1404" w:type="dxa"/>
            <w:vMerge/>
            <w:vAlign w:val="center"/>
          </w:tcPr>
          <w:p w14:paraId="017ACA9D" w14:textId="77777777" w:rsidR="009E23EA" w:rsidRPr="009E23EA" w:rsidRDefault="009E23EA" w:rsidP="009E23EA">
            <w:pPr>
              <w:spacing w:after="0" w:line="240" w:lineRule="auto"/>
              <w:rPr>
                <w:rFonts w:ascii="Lato" w:eastAsia="Times New Roman" w:hAnsi="Lato" w:cs="Calibri"/>
                <w:b/>
                <w:bCs/>
                <w:color w:val="000000"/>
                <w:sz w:val="24"/>
                <w:szCs w:val="24"/>
                <w:lang w:eastAsia="en-GB"/>
              </w:rPr>
            </w:pPr>
          </w:p>
        </w:tc>
        <w:tc>
          <w:tcPr>
            <w:tcW w:w="7657" w:type="dxa"/>
            <w:tcBorders>
              <w:bottom w:val="single" w:sz="8" w:space="0" w:color="000000"/>
              <w:right w:val="single" w:sz="4" w:space="0" w:color="000000"/>
            </w:tcBorders>
            <w:vAlign w:val="bottom"/>
          </w:tcPr>
          <w:p w14:paraId="5EBB99D0" w14:textId="77777777" w:rsidR="009E23EA" w:rsidRPr="009E23EA" w:rsidRDefault="009E23EA" w:rsidP="009E23EA">
            <w:pPr>
              <w:spacing w:after="0" w:line="240" w:lineRule="auto"/>
              <w:rPr>
                <w:rFonts w:ascii="Lato" w:eastAsia="Times New Roman" w:hAnsi="Lato" w:cs="Calibri"/>
                <w:bCs/>
                <w:color w:val="auto"/>
                <w:sz w:val="24"/>
                <w:szCs w:val="24"/>
                <w:lang w:eastAsia="en-GB"/>
              </w:rPr>
            </w:pPr>
            <w:r w:rsidRPr="009E23EA">
              <w:rPr>
                <w:rFonts w:ascii="Lato" w:eastAsia="Times New Roman" w:hAnsi="Lato" w:cs="Calibri"/>
                <w:bCs/>
                <w:sz w:val="24"/>
                <w:szCs w:val="24"/>
                <w:lang w:eastAsia="en-GB"/>
              </w:rPr>
              <w:t>20. Is there a clear plan for how to use the results, including recommendations that are 'SMART' (Specific, Measurable, Achievable, Relevant, Timebound) and directed toward the appropriate 'end users', a dissemination plan, and specific actions for implementing these recommendations?</w:t>
            </w:r>
          </w:p>
        </w:tc>
      </w:tr>
    </w:tbl>
    <w:p w14:paraId="0C854E22" w14:textId="77777777" w:rsidR="009E23EA" w:rsidRPr="009E23EA" w:rsidRDefault="009E23EA" w:rsidP="009E23EA">
      <w:pPr>
        <w:rPr>
          <w:rFonts w:ascii="Lato" w:hAnsi="Lato"/>
          <w:sz w:val="24"/>
          <w:szCs w:val="24"/>
        </w:rPr>
      </w:pPr>
    </w:p>
    <w:p w14:paraId="71132712" w14:textId="77777777" w:rsidR="009E23EA" w:rsidRPr="009E23EA" w:rsidRDefault="009E23EA" w:rsidP="009E23EA">
      <w:pPr>
        <w:rPr>
          <w:rFonts w:ascii="Lato" w:hAnsi="Lato"/>
          <w:sz w:val="24"/>
          <w:szCs w:val="24"/>
        </w:rPr>
      </w:pPr>
      <w:r w:rsidRPr="009E23EA">
        <w:rPr>
          <w:rFonts w:ascii="Lato" w:hAnsi="Lato"/>
          <w:sz w:val="24"/>
          <w:szCs w:val="24"/>
        </w:rPr>
        <w:t>The evaluation quality criteria above will be used for internal quality review after completion and should be read together with applicable Save the Children evaluation quality guidance.</w:t>
      </w:r>
    </w:p>
    <w:p w14:paraId="06CECAA3" w14:textId="77777777" w:rsidR="009E23EA" w:rsidRPr="009E23EA" w:rsidRDefault="009E23EA" w:rsidP="009E23EA">
      <w:pPr>
        <w:rPr>
          <w:rFonts w:ascii="Lato" w:hAnsi="Lato"/>
          <w:sz w:val="24"/>
          <w:szCs w:val="24"/>
        </w:rPr>
      </w:pPr>
    </w:p>
    <w:tbl>
      <w:tblPr>
        <w:tblpPr w:leftFromText="180" w:rightFromText="180" w:vertAnchor="text" w:tblpX="108"/>
        <w:tblW w:w="8937" w:type="dxa"/>
        <w:tblLayout w:type="fixed"/>
        <w:tblLook w:val="04A0" w:firstRow="1" w:lastRow="0" w:firstColumn="1" w:lastColumn="0" w:noHBand="0" w:noVBand="1"/>
      </w:tblPr>
      <w:tblGrid>
        <w:gridCol w:w="2373"/>
        <w:gridCol w:w="6564"/>
      </w:tblGrid>
      <w:tr w:rsidR="009E23EA" w:rsidRPr="009E23EA" w14:paraId="780A1C9A" w14:textId="77777777" w:rsidTr="00E32618">
        <w:trPr>
          <w:trHeight w:val="194"/>
        </w:trPr>
        <w:tc>
          <w:tcPr>
            <w:tcW w:w="2373" w:type="dxa"/>
            <w:tcBorders>
              <w:top w:val="single" w:sz="4" w:space="0" w:color="000000"/>
              <w:left w:val="single" w:sz="4" w:space="0" w:color="000000"/>
              <w:bottom w:val="single" w:sz="4" w:space="0" w:color="000000"/>
              <w:right w:val="single" w:sz="4" w:space="0" w:color="000000"/>
            </w:tcBorders>
            <w:shd w:val="clear" w:color="auto" w:fill="C00000"/>
          </w:tcPr>
          <w:p w14:paraId="464094AC" w14:textId="77777777" w:rsidR="009E23EA" w:rsidRPr="009E23EA" w:rsidRDefault="009E23EA" w:rsidP="009E23EA">
            <w:pPr>
              <w:jc w:val="both"/>
              <w:rPr>
                <w:rFonts w:ascii="Lato" w:eastAsia="Times New Roman" w:hAnsi="Lato"/>
                <w:color w:val="FFFFFF" w:themeColor="background1"/>
                <w:sz w:val="24"/>
                <w:szCs w:val="24"/>
                <w:lang w:val="en-US"/>
              </w:rPr>
            </w:pPr>
            <w:proofErr w:type="spellStart"/>
            <w:r w:rsidRPr="009E23EA">
              <w:rPr>
                <w:rFonts w:ascii="Lato" w:eastAsia="Times New Roman" w:hAnsi="Lato"/>
                <w:color w:val="FFFFFF" w:themeColor="background1"/>
                <w:sz w:val="24"/>
                <w:szCs w:val="24"/>
                <w:lang w:val="en-US"/>
              </w:rPr>
              <w:lastRenderedPageBreak/>
              <w:t>ToR</w:t>
            </w:r>
            <w:proofErr w:type="spellEnd"/>
            <w:r w:rsidRPr="009E23EA">
              <w:rPr>
                <w:rFonts w:ascii="Lato" w:eastAsia="Times New Roman" w:hAnsi="Lato"/>
                <w:color w:val="FFFFFF" w:themeColor="background1"/>
                <w:sz w:val="24"/>
                <w:szCs w:val="24"/>
                <w:lang w:val="en-US"/>
              </w:rPr>
              <w:t xml:space="preserve"> prepared by:</w:t>
            </w:r>
          </w:p>
        </w:tc>
        <w:tc>
          <w:tcPr>
            <w:tcW w:w="6563" w:type="dxa"/>
            <w:tcBorders>
              <w:top w:val="single" w:sz="4" w:space="0" w:color="000000"/>
              <w:left w:val="single" w:sz="4" w:space="0" w:color="000000"/>
              <w:bottom w:val="single" w:sz="4" w:space="0" w:color="000000"/>
              <w:right w:val="single" w:sz="4" w:space="0" w:color="000000"/>
            </w:tcBorders>
            <w:tcMar>
              <w:left w:w="5" w:type="dxa"/>
              <w:right w:w="5" w:type="dxa"/>
            </w:tcMar>
          </w:tcPr>
          <w:p w14:paraId="369472EF" w14:textId="77777777" w:rsidR="009E23EA" w:rsidRPr="009E23EA" w:rsidRDefault="009E23EA" w:rsidP="009E23EA">
            <w:pPr>
              <w:rPr>
                <w:rFonts w:ascii="Lato" w:eastAsia="Times New Roman" w:hAnsi="Lato" w:cs="Arial"/>
                <w:sz w:val="24"/>
                <w:szCs w:val="24"/>
              </w:rPr>
            </w:pPr>
          </w:p>
        </w:tc>
      </w:tr>
      <w:tr w:rsidR="009E23EA" w:rsidRPr="009E23EA" w14:paraId="6C3BA869" w14:textId="77777777" w:rsidTr="00E32618">
        <w:trPr>
          <w:trHeight w:val="194"/>
        </w:trPr>
        <w:tc>
          <w:tcPr>
            <w:tcW w:w="2373" w:type="dxa"/>
            <w:tcBorders>
              <w:top w:val="single" w:sz="4" w:space="0" w:color="000000"/>
              <w:left w:val="single" w:sz="4" w:space="0" w:color="000000"/>
              <w:bottom w:val="single" w:sz="4" w:space="0" w:color="000000"/>
              <w:right w:val="single" w:sz="4" w:space="0" w:color="000000"/>
            </w:tcBorders>
            <w:shd w:val="clear" w:color="auto" w:fill="C00000"/>
          </w:tcPr>
          <w:p w14:paraId="36F841B9" w14:textId="77777777" w:rsidR="009E23EA" w:rsidRPr="009E23EA" w:rsidRDefault="009E23EA" w:rsidP="009E23EA">
            <w:pPr>
              <w:jc w:val="both"/>
              <w:rPr>
                <w:rFonts w:ascii="Lato" w:eastAsia="Times New Roman" w:hAnsi="Lato"/>
                <w:color w:val="FFFFFF" w:themeColor="background1"/>
                <w:sz w:val="24"/>
                <w:szCs w:val="24"/>
                <w:lang w:val="en-US"/>
              </w:rPr>
            </w:pPr>
            <w:proofErr w:type="spellStart"/>
            <w:r w:rsidRPr="009E23EA">
              <w:rPr>
                <w:rFonts w:ascii="Lato" w:eastAsia="Times New Roman" w:hAnsi="Lato"/>
                <w:color w:val="FFFFFF" w:themeColor="background1"/>
                <w:sz w:val="24"/>
                <w:szCs w:val="24"/>
                <w:lang w:val="en-US"/>
              </w:rPr>
              <w:t>ToR</w:t>
            </w:r>
            <w:proofErr w:type="spellEnd"/>
            <w:r w:rsidRPr="009E23EA">
              <w:rPr>
                <w:rFonts w:ascii="Lato" w:eastAsia="Times New Roman" w:hAnsi="Lato"/>
                <w:color w:val="FFFFFF" w:themeColor="background1"/>
                <w:sz w:val="24"/>
                <w:szCs w:val="24"/>
                <w:lang w:val="en-US"/>
              </w:rPr>
              <w:t xml:space="preserve"> approved by:</w:t>
            </w:r>
          </w:p>
        </w:tc>
        <w:tc>
          <w:tcPr>
            <w:tcW w:w="6563" w:type="dxa"/>
            <w:tcBorders>
              <w:top w:val="single" w:sz="4" w:space="0" w:color="000000"/>
              <w:left w:val="single" w:sz="4" w:space="0" w:color="000000"/>
              <w:bottom w:val="single" w:sz="4" w:space="0" w:color="000000"/>
              <w:right w:val="single" w:sz="4" w:space="0" w:color="000000"/>
            </w:tcBorders>
            <w:tcMar>
              <w:left w:w="5" w:type="dxa"/>
              <w:right w:w="5" w:type="dxa"/>
            </w:tcMar>
          </w:tcPr>
          <w:p w14:paraId="6CFE20C2" w14:textId="77777777" w:rsidR="009E23EA" w:rsidRPr="009E23EA" w:rsidRDefault="009E23EA" w:rsidP="009E23EA">
            <w:pPr>
              <w:rPr>
                <w:rFonts w:ascii="Lato" w:hAnsi="Lato"/>
                <w:iCs/>
                <w:color w:val="0070C0"/>
                <w:sz w:val="24"/>
                <w:szCs w:val="24"/>
              </w:rPr>
            </w:pPr>
          </w:p>
        </w:tc>
      </w:tr>
      <w:tr w:rsidR="009E23EA" w:rsidRPr="009E23EA" w14:paraId="1D1270E0" w14:textId="77777777" w:rsidTr="00E32618">
        <w:trPr>
          <w:trHeight w:val="194"/>
        </w:trPr>
        <w:tc>
          <w:tcPr>
            <w:tcW w:w="2373" w:type="dxa"/>
            <w:tcBorders>
              <w:top w:val="single" w:sz="4" w:space="0" w:color="000000"/>
              <w:left w:val="single" w:sz="4" w:space="0" w:color="000000"/>
              <w:bottom w:val="single" w:sz="4" w:space="0" w:color="000000"/>
              <w:right w:val="single" w:sz="4" w:space="0" w:color="000000"/>
            </w:tcBorders>
            <w:shd w:val="clear" w:color="auto" w:fill="C00000"/>
          </w:tcPr>
          <w:p w14:paraId="47B8C0C0" w14:textId="77777777" w:rsidR="009E23EA" w:rsidRPr="009E23EA" w:rsidRDefault="009E23EA" w:rsidP="009E23EA">
            <w:pPr>
              <w:jc w:val="both"/>
              <w:rPr>
                <w:rFonts w:ascii="Lato" w:eastAsia="Times New Roman" w:hAnsi="Lato"/>
                <w:color w:val="FFFFFF" w:themeColor="background1"/>
                <w:sz w:val="24"/>
                <w:szCs w:val="24"/>
                <w:lang w:val="en-US"/>
              </w:rPr>
            </w:pPr>
            <w:r w:rsidRPr="009E23EA">
              <w:rPr>
                <w:rFonts w:ascii="Lato" w:eastAsia="Times New Roman" w:hAnsi="Lato"/>
                <w:color w:val="FFFFFF" w:themeColor="background1"/>
                <w:sz w:val="24"/>
                <w:szCs w:val="24"/>
                <w:lang w:val="en-US"/>
              </w:rPr>
              <w:t>Date of sign off:</w:t>
            </w:r>
          </w:p>
        </w:tc>
        <w:tc>
          <w:tcPr>
            <w:tcW w:w="6563" w:type="dxa"/>
            <w:tcBorders>
              <w:top w:val="single" w:sz="4" w:space="0" w:color="000000"/>
              <w:left w:val="single" w:sz="4" w:space="0" w:color="000000"/>
              <w:bottom w:val="single" w:sz="4" w:space="0" w:color="000000"/>
              <w:right w:val="single" w:sz="4" w:space="0" w:color="000000"/>
            </w:tcBorders>
            <w:tcMar>
              <w:left w:w="5" w:type="dxa"/>
              <w:right w:w="5" w:type="dxa"/>
            </w:tcMar>
          </w:tcPr>
          <w:p w14:paraId="15C7624A" w14:textId="77777777" w:rsidR="009E23EA" w:rsidRPr="009E23EA" w:rsidRDefault="009E23EA" w:rsidP="009E23EA">
            <w:pPr>
              <w:rPr>
                <w:rFonts w:ascii="Lato" w:hAnsi="Lato"/>
                <w:iCs/>
                <w:color w:val="0070C0"/>
                <w:sz w:val="24"/>
                <w:szCs w:val="24"/>
              </w:rPr>
            </w:pPr>
          </w:p>
        </w:tc>
      </w:tr>
    </w:tbl>
    <w:p w14:paraId="6780F97F" w14:textId="77777777" w:rsidR="009E23EA" w:rsidRPr="009E23EA" w:rsidRDefault="009E23EA" w:rsidP="009E23EA">
      <w:pPr>
        <w:spacing w:after="0" w:line="240" w:lineRule="auto"/>
        <w:jc w:val="center"/>
        <w:rPr>
          <w:rFonts w:ascii="Lato" w:eastAsia="Times New Roman" w:hAnsi="Lato" w:cs="Segoe UI"/>
          <w:b/>
          <w:bCs/>
          <w:color w:val="FF0000"/>
          <w:sz w:val="24"/>
          <w:szCs w:val="24"/>
          <w:lang w:eastAsia="en-GB"/>
        </w:rPr>
      </w:pPr>
    </w:p>
    <w:p w14:paraId="59F058D9" w14:textId="77777777" w:rsidR="009E23EA" w:rsidRPr="009E23EA" w:rsidRDefault="009E23EA" w:rsidP="009E23EA">
      <w:pPr>
        <w:spacing w:after="0" w:line="240" w:lineRule="auto"/>
        <w:jc w:val="center"/>
        <w:textAlignment w:val="baseline"/>
        <w:rPr>
          <w:rFonts w:ascii="Lato" w:eastAsia="Times New Roman" w:hAnsi="Lato" w:cs="Segoe UI"/>
          <w:sz w:val="24"/>
          <w:szCs w:val="24"/>
          <w:lang w:val="en-US" w:eastAsia="en-GB"/>
        </w:rPr>
      </w:pPr>
      <w:r w:rsidRPr="009E23EA">
        <w:rPr>
          <w:rFonts w:ascii="Lato" w:eastAsia="Times New Roman" w:hAnsi="Lato" w:cs="Segoe UI"/>
          <w:b/>
          <w:bCs/>
          <w:sz w:val="24"/>
          <w:szCs w:val="24"/>
          <w:lang w:eastAsia="en-GB"/>
        </w:rPr>
        <w:t>Who can I contact if I have a question or comment about this document?</w:t>
      </w:r>
    </w:p>
    <w:p w14:paraId="1AAF1AD2" w14:textId="378900D6" w:rsidR="00DF2CA8" w:rsidRDefault="009E23EA" w:rsidP="008E7E37">
      <w:pPr>
        <w:spacing w:after="0"/>
        <w:rPr>
          <w:rFonts w:ascii="Lato" w:hAnsi="Lato" w:cs="Arial"/>
          <w:color w:val="000000"/>
          <w:sz w:val="24"/>
          <w:szCs w:val="24"/>
          <w:lang w:eastAsia="en-AU"/>
        </w:rPr>
      </w:pPr>
      <w:r w:rsidRPr="009E23EA">
        <w:rPr>
          <w:rFonts w:ascii="Lato" w:hAnsi="Lato" w:cs="Segoe UI"/>
          <w:sz w:val="24"/>
          <w:szCs w:val="24"/>
        </w:rPr>
        <w:t xml:space="preserve">Please contact the </w:t>
      </w:r>
      <w:r w:rsidR="008E7E37" w:rsidRPr="008E7E37">
        <w:rPr>
          <w:rFonts w:ascii="Lato" w:hAnsi="Lato" w:cs="Segoe UI"/>
          <w:sz w:val="24"/>
          <w:szCs w:val="24"/>
          <w:highlight w:val="yellow"/>
        </w:rPr>
        <w:t>…………………………………….</w:t>
      </w:r>
    </w:p>
    <w:sectPr w:rsidR="00DF2CA8">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567" w:footer="51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01A3" w14:textId="77777777" w:rsidR="00691B31" w:rsidRDefault="00691B31">
      <w:pPr>
        <w:spacing w:after="0" w:line="240" w:lineRule="auto"/>
      </w:pPr>
      <w:r>
        <w:separator/>
      </w:r>
    </w:p>
  </w:endnote>
  <w:endnote w:type="continuationSeparator" w:id="0">
    <w:p w14:paraId="03470CC9" w14:textId="77777777" w:rsidR="00691B31" w:rsidRDefault="00691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altName w:val="Calibri"/>
    <w:charset w:val="01"/>
    <w:family w:val="swiss"/>
    <w:pitch w:val="default"/>
  </w:font>
  <w:font w:name="Gill Sans MT">
    <w:panose1 w:val="020B0502020104020203"/>
    <w:charset w:val="00"/>
    <w:family w:val="swiss"/>
    <w:pitch w:val="variable"/>
    <w:sig w:usb0="00000007" w:usb1="00000000" w:usb2="00000000" w:usb3="00000000" w:csb0="00000003" w:csb1="00000000"/>
  </w:font>
  <w:font w:name="MingLiU">
    <w:panose1 w:val="02010609000101010101"/>
    <w:charset w:val="88"/>
    <w:family w:val="modern"/>
    <w:pitch w:val="fixed"/>
    <w:sig w:usb0="A00002FF" w:usb1="28CFFCFA" w:usb2="00000016" w:usb3="00000000" w:csb0="00100001" w:csb1="00000000"/>
  </w:font>
  <w:font w:name="TradeGothic Bold">
    <w:altName w:val="Cambria"/>
    <w:charset w:val="01"/>
    <w:family w:val="roman"/>
    <w:pitch w:val="variable"/>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Trade Gothic LT Com Cn">
    <w:charset w:val="01"/>
    <w:family w:val="swiss"/>
    <w:pitch w:val="variable"/>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A664" w14:textId="77777777" w:rsidR="00DF2CA8" w:rsidRDefault="00DF2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2383" w14:textId="77777777" w:rsidR="00DF2CA8" w:rsidRDefault="00572503">
    <w:pPr>
      <w:pStyle w:val="Website"/>
    </w:pPr>
    <w:r>
      <w:t>Savethechildren.org</w:t>
    </w:r>
  </w:p>
  <w:p w14:paraId="42DEFAE8" w14:textId="77777777" w:rsidR="00DF2CA8" w:rsidRDefault="00572503">
    <w:pPr>
      <w:pStyle w:val="Footer"/>
      <w:tabs>
        <w:tab w:val="right" w:pos="9026"/>
      </w:tabs>
    </w:pPr>
    <w:r>
      <w:rPr>
        <w:noProof/>
      </w:rPr>
      <w:drawing>
        <wp:anchor distT="0" distB="0" distL="0" distR="0" simplePos="0" relativeHeight="251659264" behindDoc="1" locked="0" layoutInCell="0" allowOverlap="1" wp14:anchorId="3FAE9053" wp14:editId="26E38E87">
          <wp:simplePos x="0" y="0"/>
          <wp:positionH relativeFrom="margin">
            <wp:align>center</wp:align>
          </wp:positionH>
          <wp:positionV relativeFrom="page">
            <wp:posOffset>9856470</wp:posOffset>
          </wp:positionV>
          <wp:extent cx="7221220" cy="66230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pic:cNvPicPr>
                    <a:picLocks noChangeAspect="1" noChangeArrowheads="1"/>
                  </pic:cNvPicPr>
                </pic:nvPicPr>
                <pic:blipFill>
                  <a:blip r:embed="rId1"/>
                  <a:stretch>
                    <a:fillRect/>
                  </a:stretch>
                </pic:blipFill>
                <pic:spPr bwMode="auto">
                  <a:xfrm>
                    <a:off x="0" y="0"/>
                    <a:ext cx="7221220" cy="66230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5814" w14:textId="77777777" w:rsidR="00DF2CA8" w:rsidRDefault="00572503">
    <w:pPr>
      <w:pStyle w:val="Website"/>
    </w:pPr>
    <w:r>
      <w:t>Savethechildren.org</w:t>
    </w:r>
  </w:p>
  <w:p w14:paraId="53CAC32B" w14:textId="77777777" w:rsidR="00DF2CA8" w:rsidRDefault="00572503">
    <w:pPr>
      <w:pStyle w:val="Footer"/>
      <w:tabs>
        <w:tab w:val="clear" w:pos="7371"/>
        <w:tab w:val="left" w:pos="2269"/>
      </w:tabs>
    </w:pPr>
    <w:r>
      <w:rPr>
        <w:noProof/>
      </w:rPr>
      <w:drawing>
        <wp:anchor distT="0" distB="0" distL="0" distR="0" simplePos="0" relativeHeight="251658240" behindDoc="1" locked="0" layoutInCell="0" allowOverlap="1" wp14:anchorId="02DFAABC" wp14:editId="59A5B208">
          <wp:simplePos x="0" y="0"/>
          <wp:positionH relativeFrom="margin">
            <wp:align>center</wp:align>
          </wp:positionH>
          <wp:positionV relativeFrom="page">
            <wp:posOffset>9872980</wp:posOffset>
          </wp:positionV>
          <wp:extent cx="7221220" cy="662305"/>
          <wp:effectExtent l="0" t="0" r="0" b="0"/>
          <wp:wrapNone/>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bwMode="auto">
                  <a:xfrm>
                    <a:off x="0" y="0"/>
                    <a:ext cx="7221220" cy="662305"/>
                  </a:xfrm>
                  <a:prstGeom prst="rect">
                    <a:avLst/>
                  </a:prstGeom>
                  <a:noFill/>
                </pic:spPr>
              </pic:pic>
            </a:graphicData>
          </a:graphic>
        </wp:anchor>
      </w:drawing>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05ED" w14:textId="77777777" w:rsidR="00DF2CA8" w:rsidRDefault="00DF2C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E66F" w14:textId="77777777" w:rsidR="00DF2CA8" w:rsidRDefault="00572503">
    <w:pPr>
      <w:pStyle w:val="Website"/>
    </w:pPr>
    <w:r>
      <w:t>Savethechildren.org</w:t>
    </w:r>
  </w:p>
  <w:p w14:paraId="390904C5" w14:textId="77777777" w:rsidR="00DF2CA8" w:rsidRDefault="00572503">
    <w:pPr>
      <w:pStyle w:val="Footer"/>
      <w:tabs>
        <w:tab w:val="clear" w:pos="7371"/>
        <w:tab w:val="left" w:pos="1005"/>
      </w:tabs>
      <w:rPr>
        <w:sz w:val="18"/>
        <w:szCs w:val="18"/>
      </w:rPr>
    </w:pPr>
    <w:r>
      <w:rPr>
        <w:noProof/>
        <w:sz w:val="18"/>
        <w:szCs w:val="18"/>
      </w:rPr>
      <w:drawing>
        <wp:anchor distT="0" distB="0" distL="0" distR="0" simplePos="0" relativeHeight="251656192" behindDoc="1" locked="0" layoutInCell="0" allowOverlap="1" wp14:anchorId="44ABBE8A" wp14:editId="0BB9989D">
          <wp:simplePos x="0" y="0"/>
          <wp:positionH relativeFrom="page">
            <wp:posOffset>161925</wp:posOffset>
          </wp:positionH>
          <wp:positionV relativeFrom="page">
            <wp:posOffset>9839960</wp:posOffset>
          </wp:positionV>
          <wp:extent cx="7221855" cy="662305"/>
          <wp:effectExtent l="0" t="0" r="0" b="0"/>
          <wp:wrapNone/>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
                  <pic:cNvPicPr>
                    <a:picLocks noChangeAspect="1" noChangeArrowheads="1"/>
                  </pic:cNvPicPr>
                </pic:nvPicPr>
                <pic:blipFill>
                  <a:blip r:embed="rId1"/>
                  <a:stretch>
                    <a:fillRect/>
                  </a:stretch>
                </pic:blipFill>
                <pic:spPr bwMode="auto">
                  <a:xfrm>
                    <a:off x="0" y="0"/>
                    <a:ext cx="7221855" cy="662305"/>
                  </a:xfrm>
                  <a:prstGeom prst="rect">
                    <a:avLst/>
                  </a:prstGeom>
                  <a:noFill/>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64B4" w14:textId="77777777" w:rsidR="00DF2CA8" w:rsidRDefault="00572503">
    <w:pPr>
      <w:pStyle w:val="Website"/>
    </w:pPr>
    <w:r>
      <w:t>Savethechildren.org</w:t>
    </w:r>
  </w:p>
  <w:p w14:paraId="37F5FB19" w14:textId="77777777" w:rsidR="00DF2CA8" w:rsidRDefault="00572503">
    <w:pPr>
      <w:pStyle w:val="Footer"/>
      <w:tabs>
        <w:tab w:val="clear" w:pos="7371"/>
        <w:tab w:val="left" w:pos="1005"/>
      </w:tabs>
      <w:rPr>
        <w:sz w:val="18"/>
        <w:szCs w:val="18"/>
      </w:rPr>
    </w:pPr>
    <w:r>
      <w:rPr>
        <w:noProof/>
        <w:sz w:val="18"/>
        <w:szCs w:val="18"/>
      </w:rPr>
      <w:drawing>
        <wp:anchor distT="0" distB="0" distL="0" distR="0" simplePos="0" relativeHeight="251657216" behindDoc="1" locked="0" layoutInCell="0" allowOverlap="1" wp14:anchorId="6A2088C3" wp14:editId="7D2B96D9">
          <wp:simplePos x="0" y="0"/>
          <wp:positionH relativeFrom="page">
            <wp:posOffset>161925</wp:posOffset>
          </wp:positionH>
          <wp:positionV relativeFrom="page">
            <wp:posOffset>9839960</wp:posOffset>
          </wp:positionV>
          <wp:extent cx="7221855" cy="662305"/>
          <wp:effectExtent l="0" t="0" r="0" b="0"/>
          <wp:wrapNone/>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7"/>
                  <pic:cNvPicPr>
                    <a:picLocks noChangeAspect="1" noChangeArrowheads="1"/>
                  </pic:cNvPicPr>
                </pic:nvPicPr>
                <pic:blipFill>
                  <a:blip r:embed="rId1"/>
                  <a:stretch>
                    <a:fillRect/>
                  </a:stretch>
                </pic:blipFill>
                <pic:spPr bwMode="auto">
                  <a:xfrm>
                    <a:off x="0" y="0"/>
                    <a:ext cx="7221855" cy="6623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3EAB" w14:textId="77777777" w:rsidR="00691B31" w:rsidRDefault="00691B31">
      <w:pPr>
        <w:spacing w:after="0" w:line="240" w:lineRule="auto"/>
      </w:pPr>
      <w:r>
        <w:separator/>
      </w:r>
    </w:p>
  </w:footnote>
  <w:footnote w:type="continuationSeparator" w:id="0">
    <w:p w14:paraId="01E3C52B" w14:textId="77777777" w:rsidR="00691B31" w:rsidRDefault="00691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792A" w14:textId="77777777" w:rsidR="00DF2CA8" w:rsidRDefault="00DF2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826657"/>
      <w:docPartObj>
        <w:docPartGallery w:val="Page Numbers (Top of Page)"/>
        <w:docPartUnique/>
      </w:docPartObj>
    </w:sdtPr>
    <w:sdtEndPr/>
    <w:sdtContent>
      <w:p w14:paraId="11DEF955" w14:textId="77777777" w:rsidR="00DF2CA8" w:rsidRDefault="00572503">
        <w:pPr>
          <w:pStyle w:val="Header"/>
          <w:jc w:val="right"/>
        </w:pPr>
        <w:r>
          <w:rPr>
            <w:color w:val="2B579A"/>
            <w:shd w:val="clear" w:color="auto" w:fill="E6E6E6"/>
          </w:rPr>
          <w:fldChar w:fldCharType="begin"/>
        </w:r>
        <w:r>
          <w:rPr>
            <w:color w:val="2B579A"/>
            <w:shd w:val="clear" w:color="auto" w:fill="E6E6E6"/>
          </w:rPr>
          <w:instrText xml:space="preserve"> PAGE </w:instrText>
        </w:r>
        <w:r>
          <w:rPr>
            <w:color w:val="2B579A"/>
            <w:shd w:val="clear" w:color="auto" w:fill="E6E6E6"/>
          </w:rPr>
          <w:fldChar w:fldCharType="separate"/>
        </w:r>
        <w:r>
          <w:rPr>
            <w:color w:val="2B579A"/>
            <w:shd w:val="clear" w:color="auto" w:fill="E6E6E6"/>
          </w:rPr>
          <w:t>1</w:t>
        </w:r>
        <w:r>
          <w:rPr>
            <w:color w:val="2B579A"/>
            <w:shd w:val="clear" w:color="auto" w:fill="E6E6E6"/>
          </w:rPr>
          <w:fldChar w:fldCharType="end"/>
        </w:r>
      </w:p>
    </w:sdtContent>
  </w:sdt>
  <w:p w14:paraId="320FF1A5" w14:textId="77777777" w:rsidR="00DF2CA8" w:rsidRDefault="00DF2CA8">
    <w:pPr>
      <w:pStyle w:val="Header"/>
      <w:rPr>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DA43" w14:textId="77777777" w:rsidR="00DF2CA8" w:rsidRDefault="00DF2C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BA69" w14:textId="77777777" w:rsidR="00DF2CA8" w:rsidRDefault="00DF2C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181306"/>
      <w:docPartObj>
        <w:docPartGallery w:val="Page Numbers (Top of Page)"/>
        <w:docPartUnique/>
      </w:docPartObj>
    </w:sdtPr>
    <w:sdtEndPr/>
    <w:sdtContent>
      <w:p w14:paraId="0B0E681C" w14:textId="77777777" w:rsidR="00DF2CA8" w:rsidRDefault="00572503">
        <w:pPr>
          <w:pStyle w:val="Header"/>
          <w:jc w:val="right"/>
        </w:pPr>
        <w:r>
          <w:rPr>
            <w:color w:val="2B579A"/>
            <w:shd w:val="clear" w:color="auto" w:fill="E6E6E6"/>
          </w:rPr>
          <w:fldChar w:fldCharType="begin"/>
        </w:r>
        <w:r>
          <w:rPr>
            <w:color w:val="2B579A"/>
            <w:shd w:val="clear" w:color="auto" w:fill="E6E6E6"/>
          </w:rPr>
          <w:instrText xml:space="preserve"> PAGE </w:instrText>
        </w:r>
        <w:r>
          <w:rPr>
            <w:color w:val="2B579A"/>
            <w:shd w:val="clear" w:color="auto" w:fill="E6E6E6"/>
          </w:rPr>
          <w:fldChar w:fldCharType="separate"/>
        </w:r>
        <w:r>
          <w:rPr>
            <w:color w:val="2B579A"/>
            <w:shd w:val="clear" w:color="auto" w:fill="E6E6E6"/>
          </w:rPr>
          <w:t>34</w:t>
        </w:r>
        <w:r>
          <w:rPr>
            <w:color w:val="2B579A"/>
            <w:shd w:val="clear" w:color="auto" w:fill="E6E6E6"/>
          </w:rPr>
          <w:fldChar w:fldCharType="end"/>
        </w:r>
      </w:p>
    </w:sdtContent>
  </w:sdt>
  <w:p w14:paraId="42BCC267" w14:textId="77777777" w:rsidR="00DF2CA8" w:rsidRDefault="00DF2CA8">
    <w:pPr>
      <w:pStyle w:val="paragraph"/>
      <w:spacing w:beforeAutospacing="0" w:after="0" w:afterAutospacing="0"/>
      <w:jc w:val="center"/>
      <w:textAlignment w:val="baseline"/>
      <w:rPr>
        <w:rFonts w:ascii="Segoe UI" w:hAnsi="Segoe UI" w:cs="Segoe UI"/>
        <w:sz w:val="18"/>
        <w:szCs w:val="18"/>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16635"/>
      <w:docPartObj>
        <w:docPartGallery w:val="Page Numbers (Top of Page)"/>
        <w:docPartUnique/>
      </w:docPartObj>
    </w:sdtPr>
    <w:sdtEndPr/>
    <w:sdtContent>
      <w:p w14:paraId="2DF6C1B9" w14:textId="77777777" w:rsidR="00DF2CA8" w:rsidRDefault="00572503">
        <w:pPr>
          <w:pStyle w:val="Header"/>
          <w:jc w:val="right"/>
        </w:pPr>
        <w:r>
          <w:rPr>
            <w:color w:val="2B579A"/>
            <w:shd w:val="clear" w:color="auto" w:fill="E6E6E6"/>
          </w:rPr>
          <w:fldChar w:fldCharType="begin"/>
        </w:r>
        <w:r>
          <w:rPr>
            <w:color w:val="2B579A"/>
            <w:shd w:val="clear" w:color="auto" w:fill="E6E6E6"/>
          </w:rPr>
          <w:instrText xml:space="preserve"> PAGE </w:instrText>
        </w:r>
        <w:r>
          <w:rPr>
            <w:color w:val="2B579A"/>
            <w:shd w:val="clear" w:color="auto" w:fill="E6E6E6"/>
          </w:rPr>
          <w:fldChar w:fldCharType="separate"/>
        </w:r>
        <w:r>
          <w:rPr>
            <w:color w:val="2B579A"/>
            <w:shd w:val="clear" w:color="auto" w:fill="E6E6E6"/>
          </w:rPr>
          <w:t>34</w:t>
        </w:r>
        <w:r>
          <w:rPr>
            <w:color w:val="2B579A"/>
            <w:shd w:val="clear" w:color="auto" w:fill="E6E6E6"/>
          </w:rPr>
          <w:fldChar w:fldCharType="end"/>
        </w:r>
      </w:p>
    </w:sdtContent>
  </w:sdt>
  <w:p w14:paraId="6E72AFD2" w14:textId="77777777" w:rsidR="00DF2CA8" w:rsidRDefault="00DF2CA8">
    <w:pPr>
      <w:pStyle w:val="paragraph"/>
      <w:spacing w:beforeAutospacing="0" w:after="0" w:afterAutospacing="0"/>
      <w:jc w:val="center"/>
      <w:textAlignment w:val="baseline"/>
      <w:rPr>
        <w:rFonts w:ascii="Segoe UI" w:hAnsi="Segoe UI" w:cs="Segoe UI"/>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A5B"/>
    <w:multiLevelType w:val="multilevel"/>
    <w:tmpl w:val="A7087CD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76C5A57"/>
    <w:multiLevelType w:val="multilevel"/>
    <w:tmpl w:val="083652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637BF0"/>
    <w:multiLevelType w:val="multilevel"/>
    <w:tmpl w:val="02889B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35B06EF"/>
    <w:multiLevelType w:val="multilevel"/>
    <w:tmpl w:val="675A8628"/>
    <w:lvl w:ilvl="0">
      <w:start w:val="1"/>
      <w:numFmt w:val="bullet"/>
      <w:lvlText w:val=""/>
      <w:lvlJc w:val="left"/>
      <w:pPr>
        <w:tabs>
          <w:tab w:val="num" w:pos="0"/>
        </w:tabs>
        <w:ind w:left="1140" w:hanging="72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4" w15:restartNumberingAfterBreak="0">
    <w:nsid w:val="256F4F22"/>
    <w:multiLevelType w:val="multilevel"/>
    <w:tmpl w:val="0D0E22B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8D86EF6"/>
    <w:multiLevelType w:val="multilevel"/>
    <w:tmpl w:val="40C8B4C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4CF0C49"/>
    <w:multiLevelType w:val="multilevel"/>
    <w:tmpl w:val="E522D316"/>
    <w:lvl w:ilvl="0">
      <w:start w:val="1"/>
      <w:numFmt w:val="decimal"/>
      <w:pStyle w:val="Heading1"/>
      <w:lvlText w:val="%1."/>
      <w:lvlJc w:val="left"/>
      <w:pPr>
        <w:tabs>
          <w:tab w:val="num" w:pos="0"/>
        </w:tabs>
        <w:ind w:left="360" w:hanging="360"/>
      </w:pPr>
    </w:lvl>
    <w:lvl w:ilvl="1">
      <w:start w:val="1"/>
      <w:numFmt w:val="decimal"/>
      <w:pStyle w:val="Heading2"/>
      <w:isLgl/>
      <w:lvlText w:val="%1.%2"/>
      <w:lvlJc w:val="left"/>
      <w:pPr>
        <w:tabs>
          <w:tab w:val="num" w:pos="0"/>
        </w:tabs>
        <w:ind w:left="1146" w:hanging="720"/>
      </w:pPr>
      <w:rPr>
        <w:color w:val="DA291C" w:themeColor="accent1"/>
        <w:sz w:val="28"/>
      </w:r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440" w:hanging="144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800" w:hanging="1800"/>
      </w:pPr>
    </w:lvl>
    <w:lvl w:ilvl="7">
      <w:start w:val="1"/>
      <w:numFmt w:val="decimal"/>
      <w:isLgl/>
      <w:lvlText w:val="%1.%2.%3.%4.%5.%6.%7.%8"/>
      <w:lvlJc w:val="left"/>
      <w:pPr>
        <w:tabs>
          <w:tab w:val="num" w:pos="0"/>
        </w:tabs>
        <w:ind w:left="2160" w:hanging="2160"/>
      </w:pPr>
    </w:lvl>
    <w:lvl w:ilvl="8">
      <w:start w:val="1"/>
      <w:numFmt w:val="decimal"/>
      <w:isLgl/>
      <w:lvlText w:val="%1.%2.%3.%4.%5.%6.%7.%8.%9"/>
      <w:lvlJc w:val="left"/>
      <w:pPr>
        <w:tabs>
          <w:tab w:val="num" w:pos="0"/>
        </w:tabs>
        <w:ind w:left="2160" w:hanging="2160"/>
      </w:pPr>
    </w:lvl>
  </w:abstractNum>
  <w:abstractNum w:abstractNumId="7" w15:restartNumberingAfterBreak="0">
    <w:nsid w:val="4AA564E2"/>
    <w:multiLevelType w:val="multilevel"/>
    <w:tmpl w:val="DBE80782"/>
    <w:lvl w:ilvl="0">
      <w:start w:val="1"/>
      <w:numFmt w:val="bullet"/>
      <w:lvlText w:val=""/>
      <w:lvlJc w:val="left"/>
      <w:pPr>
        <w:tabs>
          <w:tab w:val="num" w:pos="0"/>
        </w:tabs>
        <w:ind w:left="720" w:hanging="72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4C4A06D3"/>
    <w:multiLevelType w:val="multilevel"/>
    <w:tmpl w:val="FFA4B9EC"/>
    <w:lvl w:ilvl="0">
      <w:start w:val="1"/>
      <w:numFmt w:val="bullet"/>
      <w:pStyle w:val="ListBullet"/>
      <w:lvlText w:val=""/>
      <w:lvlJc w:val="left"/>
      <w:pPr>
        <w:tabs>
          <w:tab w:val="num" w:pos="0"/>
        </w:tabs>
        <w:ind w:left="360" w:hanging="360"/>
      </w:pPr>
      <w:rPr>
        <w:rFonts w:ascii="Symbol" w:hAnsi="Symbol" w:cs="Symbol" w:hint="default"/>
        <w:color w:val="DA291C" w:themeColor="accent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0482F45"/>
    <w:multiLevelType w:val="multilevel"/>
    <w:tmpl w:val="3F5E49F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5A966E1A"/>
    <w:multiLevelType w:val="multilevel"/>
    <w:tmpl w:val="4832337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65CE52DC"/>
    <w:multiLevelType w:val="multilevel"/>
    <w:tmpl w:val="35BAAA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5F94223"/>
    <w:multiLevelType w:val="multilevel"/>
    <w:tmpl w:val="10DC3FA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15:restartNumberingAfterBreak="0">
    <w:nsid w:val="6C0952DD"/>
    <w:multiLevelType w:val="multilevel"/>
    <w:tmpl w:val="3EA0E66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C635CDE"/>
    <w:multiLevelType w:val="multilevel"/>
    <w:tmpl w:val="EBDCE4E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15:restartNumberingAfterBreak="0">
    <w:nsid w:val="6CA40B9F"/>
    <w:multiLevelType w:val="multilevel"/>
    <w:tmpl w:val="FBC68E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3D75F8A"/>
    <w:multiLevelType w:val="multilevel"/>
    <w:tmpl w:val="E7F403BA"/>
    <w:lvl w:ilvl="0">
      <w:numFmt w:val="bullet"/>
      <w:lvlText w:val="•"/>
      <w:lvlJc w:val="left"/>
      <w:pPr>
        <w:tabs>
          <w:tab w:val="num" w:pos="0"/>
        </w:tabs>
        <w:ind w:left="1080" w:hanging="720"/>
      </w:pPr>
      <w:rPr>
        <w:rFonts w:ascii="Gill Sans Infant Std" w:eastAsiaTheme="minorHAnsi" w:hAnsi="Gill Sans Infant Std" w:cs="Gill Sans Infant St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31832699">
    <w:abstractNumId w:val="15"/>
  </w:num>
  <w:num w:numId="2" w16cid:durableId="523835425">
    <w:abstractNumId w:val="8"/>
  </w:num>
  <w:num w:numId="3" w16cid:durableId="412892078">
    <w:abstractNumId w:val="10"/>
  </w:num>
  <w:num w:numId="4" w16cid:durableId="437335114">
    <w:abstractNumId w:val="6"/>
  </w:num>
  <w:num w:numId="5" w16cid:durableId="172577443">
    <w:abstractNumId w:val="16"/>
  </w:num>
  <w:num w:numId="6" w16cid:durableId="772436710">
    <w:abstractNumId w:val="7"/>
  </w:num>
  <w:num w:numId="7" w16cid:durableId="219177265">
    <w:abstractNumId w:val="9"/>
  </w:num>
  <w:num w:numId="8" w16cid:durableId="1214191887">
    <w:abstractNumId w:val="11"/>
  </w:num>
  <w:num w:numId="9" w16cid:durableId="1530296686">
    <w:abstractNumId w:val="3"/>
  </w:num>
  <w:num w:numId="10" w16cid:durableId="697969411">
    <w:abstractNumId w:val="14"/>
  </w:num>
  <w:num w:numId="11" w16cid:durableId="1345130327">
    <w:abstractNumId w:val="12"/>
  </w:num>
  <w:num w:numId="12" w16cid:durableId="1716007642">
    <w:abstractNumId w:val="4"/>
  </w:num>
  <w:num w:numId="13" w16cid:durableId="804928787">
    <w:abstractNumId w:val="2"/>
  </w:num>
  <w:num w:numId="14" w16cid:durableId="1011033405">
    <w:abstractNumId w:val="0"/>
  </w:num>
  <w:num w:numId="15" w16cid:durableId="1310135396">
    <w:abstractNumId w:val="1"/>
  </w:num>
  <w:num w:numId="16" w16cid:durableId="653606296">
    <w:abstractNumId w:val="13"/>
  </w:num>
  <w:num w:numId="17" w16cid:durableId="932518196">
    <w:abstractNumId w:val="6"/>
  </w:num>
  <w:num w:numId="18" w16cid:durableId="2020958542">
    <w:abstractNumId w:val="6"/>
  </w:num>
  <w:num w:numId="19" w16cid:durableId="7935955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UysjQzMzU3N7QwNbFQ0lEKTi0uzszPAykwrAUAYH+/ESwAAAA="/>
  </w:docVars>
  <w:rsids>
    <w:rsidRoot w:val="00DF2CA8"/>
    <w:rsid w:val="00091B63"/>
    <w:rsid w:val="000A09A8"/>
    <w:rsid w:val="002D3EE9"/>
    <w:rsid w:val="002F035D"/>
    <w:rsid w:val="00331DD0"/>
    <w:rsid w:val="003960DF"/>
    <w:rsid w:val="003A6F20"/>
    <w:rsid w:val="00484E24"/>
    <w:rsid w:val="00572503"/>
    <w:rsid w:val="00614E54"/>
    <w:rsid w:val="00691B31"/>
    <w:rsid w:val="00746AF1"/>
    <w:rsid w:val="00786BEE"/>
    <w:rsid w:val="007A21BB"/>
    <w:rsid w:val="007D31E0"/>
    <w:rsid w:val="008802BD"/>
    <w:rsid w:val="008E7E37"/>
    <w:rsid w:val="009E23EA"/>
    <w:rsid w:val="009F1014"/>
    <w:rsid w:val="00A40E2F"/>
    <w:rsid w:val="00AA57D7"/>
    <w:rsid w:val="00B575EA"/>
    <w:rsid w:val="00DF2CA8"/>
    <w:rsid w:val="00DF7FCE"/>
    <w:rsid w:val="00F37D5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DC88"/>
  <w15:docId w15:val="{FA9067B9-856A-44C0-9F6F-6574DF3D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nhideWhenUsed="1"/>
    <w:lsdException w:name="annotation text" w:semiHidden="1"/>
    <w:lsdException w:name="header" w:unhideWhenUsed="1"/>
    <w:lsdException w:name="footer"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16A"/>
    <w:pPr>
      <w:spacing w:after="120" w:line="260" w:lineRule="atLeast"/>
    </w:pPr>
    <w:rPr>
      <w:rFonts w:ascii="Gill Sans Infant Std" w:eastAsia="Gill Sans Infant Std" w:hAnsi="Gill Sans Infant Std"/>
      <w:color w:val="000000" w:themeColor="text1"/>
    </w:rPr>
  </w:style>
  <w:style w:type="paragraph" w:styleId="Heading1">
    <w:name w:val="heading 1"/>
    <w:basedOn w:val="Normal"/>
    <w:next w:val="Normal"/>
    <w:link w:val="Heading1Char"/>
    <w:qFormat/>
    <w:rsid w:val="003D5B3F"/>
    <w:pPr>
      <w:keepNext/>
      <w:keepLines/>
      <w:numPr>
        <w:numId w:val="4"/>
      </w:numPr>
      <w:spacing w:before="360" w:after="180" w:line="320" w:lineRule="atLeast"/>
      <w:outlineLvl w:val="0"/>
    </w:pPr>
    <w:rPr>
      <w:rFonts w:ascii="Gill Sans MT" w:eastAsiaTheme="majorEastAsia" w:hAnsi="Gill Sans MT" w:cstheme="majorBidi"/>
      <w:bCs/>
      <w:caps/>
      <w:color w:val="DA291C" w:themeColor="accent1"/>
      <w:sz w:val="44"/>
      <w:szCs w:val="28"/>
    </w:rPr>
  </w:style>
  <w:style w:type="paragraph" w:styleId="Heading2">
    <w:name w:val="heading 2"/>
    <w:basedOn w:val="Normal"/>
    <w:next w:val="Normal"/>
    <w:link w:val="Heading2Char"/>
    <w:qFormat/>
    <w:rsid w:val="0031457A"/>
    <w:pPr>
      <w:keepNext/>
      <w:keepLines/>
      <w:numPr>
        <w:ilvl w:val="1"/>
        <w:numId w:val="4"/>
      </w:numPr>
      <w:spacing w:before="240" w:after="160"/>
      <w:outlineLvl w:val="1"/>
    </w:pPr>
    <w:rPr>
      <w:rFonts w:ascii="Gill Sans MT" w:eastAsiaTheme="majorEastAsia" w:hAnsi="Gill Sans MT" w:cstheme="majorBidi"/>
      <w:b/>
      <w:bCs/>
      <w:color w:val="DA291C" w:themeColor="accent1"/>
      <w:sz w:val="28"/>
      <w:szCs w:val="26"/>
    </w:rPr>
  </w:style>
  <w:style w:type="paragraph" w:styleId="Heading3">
    <w:name w:val="heading 3"/>
    <w:basedOn w:val="Heading2"/>
    <w:next w:val="Normal"/>
    <w:link w:val="Heading3Char"/>
    <w:qFormat/>
    <w:rsid w:val="00FF33EF"/>
    <w:pPr>
      <w:numPr>
        <w:ilvl w:val="0"/>
        <w:numId w:val="0"/>
      </w:numPr>
      <w:spacing w:after="0"/>
      <w:outlineLvl w:val="2"/>
    </w:pPr>
    <w:rPr>
      <w:bCs w:val="0"/>
      <w:color w:val="000000" w:themeColor="text1"/>
    </w:rPr>
  </w:style>
  <w:style w:type="paragraph" w:styleId="Heading4">
    <w:name w:val="heading 4"/>
    <w:basedOn w:val="Normal"/>
    <w:next w:val="Normal"/>
    <w:link w:val="Heading4Char"/>
    <w:uiPriority w:val="9"/>
    <w:semiHidden/>
    <w:qFormat/>
    <w:rsid w:val="00255D53"/>
    <w:pPr>
      <w:keepNext/>
      <w:keepLines/>
      <w:tabs>
        <w:tab w:val="left" w:pos="340"/>
      </w:tabs>
      <w:spacing w:after="0"/>
      <w:outlineLvl w:val="3"/>
    </w:pPr>
    <w:rPr>
      <w:rFonts w:asciiTheme="majorHAnsi" w:eastAsiaTheme="majorEastAsia" w:hAnsiTheme="maj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3D5B3F"/>
    <w:rPr>
      <w:rFonts w:ascii="Gill Sans MT" w:eastAsiaTheme="majorEastAsia" w:hAnsi="Gill Sans MT" w:cstheme="majorBidi"/>
      <w:bCs/>
      <w:caps/>
      <w:color w:val="DA291C" w:themeColor="accent1"/>
      <w:sz w:val="44"/>
      <w:szCs w:val="28"/>
    </w:rPr>
  </w:style>
  <w:style w:type="character" w:customStyle="1" w:styleId="Heading2Char">
    <w:name w:val="Heading 2 Char"/>
    <w:basedOn w:val="DefaultParagraphFont"/>
    <w:link w:val="Heading2"/>
    <w:qFormat/>
    <w:rsid w:val="0031457A"/>
    <w:rPr>
      <w:rFonts w:ascii="Gill Sans MT" w:eastAsiaTheme="majorEastAsia" w:hAnsi="Gill Sans MT" w:cstheme="majorBidi"/>
      <w:b/>
      <w:bCs/>
      <w:color w:val="DA291C" w:themeColor="accent1"/>
      <w:sz w:val="28"/>
      <w:szCs w:val="26"/>
    </w:rPr>
  </w:style>
  <w:style w:type="character" w:customStyle="1" w:styleId="HeaderChar">
    <w:name w:val="Header Char"/>
    <w:basedOn w:val="DefaultParagraphFont"/>
    <w:link w:val="Header"/>
    <w:uiPriority w:val="99"/>
    <w:qFormat/>
    <w:rsid w:val="00D14CD0"/>
    <w:rPr>
      <w:rFonts w:ascii="TradeGothic Bold" w:hAnsi="TradeGothic Bold"/>
    </w:rPr>
  </w:style>
  <w:style w:type="character" w:customStyle="1" w:styleId="FooterChar">
    <w:name w:val="Footer Char"/>
    <w:basedOn w:val="DefaultParagraphFont"/>
    <w:link w:val="Footer"/>
    <w:uiPriority w:val="99"/>
    <w:qFormat/>
    <w:rsid w:val="00207329"/>
    <w:rPr>
      <w:sz w:val="14"/>
    </w:rPr>
  </w:style>
  <w:style w:type="character" w:customStyle="1" w:styleId="BalloonTextChar">
    <w:name w:val="Balloon Text Char"/>
    <w:basedOn w:val="DefaultParagraphFont"/>
    <w:link w:val="BalloonText"/>
    <w:uiPriority w:val="99"/>
    <w:semiHidden/>
    <w:qFormat/>
    <w:rsid w:val="00C702C7"/>
    <w:rPr>
      <w:rFonts w:ascii="Tahoma" w:hAnsi="Tahoma" w:cs="Tahoma"/>
      <w:sz w:val="16"/>
      <w:szCs w:val="16"/>
    </w:rPr>
  </w:style>
  <w:style w:type="character" w:styleId="PlaceholderText">
    <w:name w:val="Placeholder Text"/>
    <w:basedOn w:val="DefaultParagraphFont"/>
    <w:uiPriority w:val="99"/>
    <w:semiHidden/>
    <w:qFormat/>
    <w:rsid w:val="001975EF"/>
    <w:rPr>
      <w:color w:val="808080"/>
    </w:rPr>
  </w:style>
  <w:style w:type="character" w:customStyle="1" w:styleId="Heading3Char">
    <w:name w:val="Heading 3 Char"/>
    <w:basedOn w:val="DefaultParagraphFont"/>
    <w:link w:val="Heading3"/>
    <w:qFormat/>
    <w:rsid w:val="00FF33EF"/>
    <w:rPr>
      <w:rFonts w:ascii="Gill Sans MT" w:eastAsiaTheme="majorEastAsia" w:hAnsi="Gill Sans MT" w:cstheme="majorBidi"/>
      <w:b/>
      <w:color w:val="000000" w:themeColor="text1"/>
      <w:sz w:val="28"/>
      <w:szCs w:val="26"/>
    </w:rPr>
  </w:style>
  <w:style w:type="character" w:customStyle="1" w:styleId="Heading4Char">
    <w:name w:val="Heading 4 Char"/>
    <w:basedOn w:val="DefaultParagraphFont"/>
    <w:link w:val="Heading4"/>
    <w:uiPriority w:val="9"/>
    <w:semiHidden/>
    <w:qFormat/>
    <w:rsid w:val="00C8703B"/>
    <w:rPr>
      <w:rFonts w:asciiTheme="majorHAnsi" w:eastAsiaTheme="majorEastAsia" w:hAnsiTheme="majorHAnsi" w:cstheme="majorBidi"/>
      <w:b/>
      <w:bCs/>
      <w:iCs/>
      <w:color w:val="000000" w:themeColor="text1"/>
    </w:rPr>
  </w:style>
  <w:style w:type="character" w:customStyle="1" w:styleId="FootnoteTextChar">
    <w:name w:val="Footnote Text Char"/>
    <w:basedOn w:val="DefaultParagraphFont"/>
    <w:link w:val="FootnoteText"/>
    <w:uiPriority w:val="99"/>
    <w:semiHidden/>
    <w:qFormat/>
    <w:rsid w:val="00C8703B"/>
    <w:rPr>
      <w:sz w:val="16"/>
      <w:szCs w:val="20"/>
    </w:rPr>
  </w:style>
  <w:style w:type="character" w:customStyle="1" w:styleId="FootnoteCharacters">
    <w:name w:val="Footnote Characters"/>
    <w:basedOn w:val="DefaultParagraphFont"/>
    <w:uiPriority w:val="99"/>
    <w:semiHidden/>
    <w:qFormat/>
    <w:rsid w:val="00412EA0"/>
    <w:rPr>
      <w:vertAlign w:val="superscript"/>
    </w:rPr>
  </w:style>
  <w:style w:type="character" w:styleId="FootnoteReference">
    <w:name w:val="footnote reference"/>
    <w:rPr>
      <w:vertAlign w:val="superscript"/>
    </w:rPr>
  </w:style>
  <w:style w:type="character" w:customStyle="1" w:styleId="ListParagraphChar">
    <w:name w:val="List Paragraph Char"/>
    <w:link w:val="ListParagraph"/>
    <w:uiPriority w:val="34"/>
    <w:qFormat/>
    <w:rsid w:val="007710D2"/>
    <w:rPr>
      <w:rFonts w:eastAsiaTheme="minorEastAsia"/>
      <w:i/>
      <w:iCs/>
      <w:sz w:val="20"/>
      <w:szCs w:val="20"/>
      <w:lang w:val="en-US"/>
    </w:rPr>
  </w:style>
  <w:style w:type="character" w:styleId="Hyperlink">
    <w:name w:val="Hyperlink"/>
    <w:basedOn w:val="DefaultParagraphFont"/>
    <w:uiPriority w:val="99"/>
    <w:unhideWhenUsed/>
    <w:rsid w:val="00367F2D"/>
    <w:rPr>
      <w:color w:val="DA291C" w:themeColor="hyperlink"/>
      <w:u w:val="single"/>
    </w:rPr>
  </w:style>
  <w:style w:type="character" w:styleId="CommentReference">
    <w:name w:val="annotation reference"/>
    <w:basedOn w:val="DefaultParagraphFont"/>
    <w:uiPriority w:val="99"/>
    <w:semiHidden/>
    <w:qFormat/>
    <w:rsid w:val="00135589"/>
    <w:rPr>
      <w:sz w:val="16"/>
      <w:szCs w:val="16"/>
    </w:rPr>
  </w:style>
  <w:style w:type="character" w:customStyle="1" w:styleId="CommentTextChar">
    <w:name w:val="Comment Text Char"/>
    <w:basedOn w:val="DefaultParagraphFont"/>
    <w:link w:val="CommentText"/>
    <w:uiPriority w:val="99"/>
    <w:semiHidden/>
    <w:qFormat/>
    <w:rsid w:val="00135589"/>
    <w:rPr>
      <w:color w:val="000000" w:themeColor="text1"/>
      <w:sz w:val="20"/>
      <w:szCs w:val="20"/>
    </w:rPr>
  </w:style>
  <w:style w:type="character" w:customStyle="1" w:styleId="CommentSubjectChar">
    <w:name w:val="Comment Subject Char"/>
    <w:basedOn w:val="CommentTextChar"/>
    <w:link w:val="CommentSubject"/>
    <w:uiPriority w:val="99"/>
    <w:semiHidden/>
    <w:qFormat/>
    <w:rsid w:val="00135589"/>
    <w:rPr>
      <w:b/>
      <w:bCs/>
      <w:color w:val="000000" w:themeColor="text1"/>
      <w:sz w:val="20"/>
      <w:szCs w:val="20"/>
    </w:rPr>
  </w:style>
  <w:style w:type="character" w:customStyle="1" w:styleId="BodyTextChar">
    <w:name w:val="Body Text Char"/>
    <w:basedOn w:val="DefaultParagraphFont"/>
    <w:link w:val="BodyText"/>
    <w:qFormat/>
    <w:rsid w:val="00D4395F"/>
    <w:rPr>
      <w:rFonts w:ascii="Arial" w:eastAsia="Times New Roman" w:hAnsi="Arial" w:cs="Arial"/>
      <w:b/>
      <w:bCs/>
      <w:sz w:val="24"/>
      <w:szCs w:val="24"/>
      <w:lang w:val="en-AU"/>
    </w:rPr>
  </w:style>
  <w:style w:type="character" w:styleId="FollowedHyperlink">
    <w:name w:val="FollowedHyperlink"/>
    <w:basedOn w:val="DefaultParagraphFont"/>
    <w:uiPriority w:val="99"/>
    <w:semiHidden/>
    <w:rsid w:val="009117FF"/>
    <w:rPr>
      <w:color w:val="761706" w:themeColor="followedHyperlink"/>
      <w:u w:val="single"/>
    </w:rPr>
  </w:style>
  <w:style w:type="character" w:customStyle="1" w:styleId="NormalTableChar">
    <w:name w:val="Normal Table Char"/>
    <w:link w:val="TableNormal1"/>
    <w:qFormat/>
    <w:rsid w:val="00427EC9"/>
    <w:rPr>
      <w:rFonts w:ascii="Arial" w:eastAsia="Times New Roman" w:hAnsi="Arial" w:cs="Times New Roman"/>
      <w:sz w:val="20"/>
      <w:szCs w:val="20"/>
      <w:lang w:val="en-AU"/>
    </w:rPr>
  </w:style>
  <w:style w:type="character" w:customStyle="1" w:styleId="Mention1">
    <w:name w:val="Mention1"/>
    <w:basedOn w:val="DefaultParagraphFont"/>
    <w:uiPriority w:val="99"/>
    <w:unhideWhenUsed/>
    <w:qFormat/>
    <w:rPr>
      <w:color w:val="2B579A"/>
      <w:shd w:val="clear" w:color="auto" w:fill="E6E6E6"/>
    </w:rPr>
  </w:style>
  <w:style w:type="character" w:customStyle="1" w:styleId="UnresolvedMention1">
    <w:name w:val="Unresolved Mention1"/>
    <w:basedOn w:val="DefaultParagraphFont"/>
    <w:uiPriority w:val="99"/>
    <w:semiHidden/>
    <w:unhideWhenUsed/>
    <w:qFormat/>
    <w:rsid w:val="006C06EA"/>
    <w:rPr>
      <w:color w:val="605E5C"/>
      <w:shd w:val="clear" w:color="auto" w:fill="E1DFDD"/>
    </w:rPr>
  </w:style>
  <w:style w:type="character" w:customStyle="1" w:styleId="UnresolvedMention2">
    <w:name w:val="Unresolved Mention2"/>
    <w:basedOn w:val="DefaultParagraphFont"/>
    <w:uiPriority w:val="99"/>
    <w:unhideWhenUsed/>
    <w:qFormat/>
    <w:rsid w:val="0015152A"/>
    <w:rPr>
      <w:color w:val="605E5C"/>
      <w:shd w:val="clear" w:color="auto" w:fill="E1DFDD"/>
    </w:rPr>
  </w:style>
  <w:style w:type="character" w:customStyle="1" w:styleId="Mention2">
    <w:name w:val="Mention2"/>
    <w:basedOn w:val="DefaultParagraphFont"/>
    <w:uiPriority w:val="99"/>
    <w:unhideWhenUsed/>
    <w:qFormat/>
    <w:rsid w:val="0015152A"/>
    <w:rPr>
      <w:color w:val="2B579A"/>
      <w:shd w:val="clear" w:color="auto" w:fill="E1DFDD"/>
    </w:rPr>
  </w:style>
  <w:style w:type="character" w:customStyle="1" w:styleId="normaltextrun">
    <w:name w:val="normaltextrun"/>
    <w:basedOn w:val="DefaultParagraphFont"/>
    <w:qFormat/>
    <w:rsid w:val="00E2279A"/>
  </w:style>
  <w:style w:type="character" w:customStyle="1" w:styleId="eop">
    <w:name w:val="eop"/>
    <w:basedOn w:val="DefaultParagraphFont"/>
    <w:qFormat/>
    <w:rsid w:val="00E2279A"/>
  </w:style>
  <w:style w:type="character" w:customStyle="1" w:styleId="UnresolvedMention3">
    <w:name w:val="Unresolved Mention3"/>
    <w:basedOn w:val="DefaultParagraphFont"/>
    <w:uiPriority w:val="99"/>
    <w:semiHidden/>
    <w:unhideWhenUsed/>
    <w:qFormat/>
    <w:rsid w:val="00D66811"/>
    <w:rPr>
      <w:color w:val="605E5C"/>
      <w:shd w:val="clear" w:color="auto" w:fill="E1DFDD"/>
    </w:rPr>
  </w:style>
  <w:style w:type="character" w:customStyle="1" w:styleId="Mention3">
    <w:name w:val="Mention3"/>
    <w:basedOn w:val="DefaultParagraphFont"/>
    <w:uiPriority w:val="99"/>
    <w:unhideWhenUsed/>
    <w:qFormat/>
    <w:rsid w:val="00D66811"/>
    <w:rPr>
      <w:color w:val="2B579A"/>
      <w:shd w:val="clear" w:color="auto" w:fill="E6E6E6"/>
    </w:rPr>
  </w:style>
  <w:style w:type="character" w:styleId="UnresolvedMention">
    <w:name w:val="Unresolved Mention"/>
    <w:basedOn w:val="DefaultParagraphFont"/>
    <w:uiPriority w:val="99"/>
    <w:semiHidden/>
    <w:unhideWhenUsed/>
    <w:qFormat/>
    <w:rsid w:val="000335E9"/>
    <w:rPr>
      <w:color w:val="605E5C"/>
      <w:shd w:val="clear" w:color="auto" w:fill="E1DFDD"/>
    </w:rPr>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link w:val="BodyTextChar"/>
    <w:rsid w:val="00D4395F"/>
    <w:pPr>
      <w:spacing w:before="60" w:after="60" w:line="240" w:lineRule="auto"/>
    </w:pPr>
    <w:rPr>
      <w:rFonts w:ascii="Arial" w:eastAsia="Times New Roman" w:hAnsi="Arial" w:cs="Arial"/>
      <w:b/>
      <w:bCs/>
      <w:sz w:val="24"/>
      <w:szCs w:val="24"/>
      <w:lang w:val="en-AU"/>
    </w:r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link w:val="HeaderChar"/>
    <w:uiPriority w:val="99"/>
    <w:rsid w:val="00D14CD0"/>
    <w:pPr>
      <w:tabs>
        <w:tab w:val="center" w:pos="4513"/>
        <w:tab w:val="right" w:pos="9026"/>
      </w:tabs>
    </w:pPr>
    <w:rPr>
      <w:rFonts w:ascii="TradeGothic Bold" w:hAnsi="TradeGothic Bold"/>
    </w:rPr>
  </w:style>
  <w:style w:type="paragraph" w:styleId="Footer">
    <w:name w:val="footer"/>
    <w:link w:val="FooterChar"/>
    <w:uiPriority w:val="99"/>
    <w:rsid w:val="00207329"/>
    <w:pPr>
      <w:tabs>
        <w:tab w:val="right" w:pos="7371"/>
      </w:tabs>
    </w:pPr>
    <w:rPr>
      <w:sz w:val="14"/>
    </w:rPr>
  </w:style>
  <w:style w:type="paragraph" w:styleId="BalloonText">
    <w:name w:val="Balloon Text"/>
    <w:basedOn w:val="Normal"/>
    <w:link w:val="BalloonTextChar"/>
    <w:uiPriority w:val="99"/>
    <w:semiHidden/>
    <w:qFormat/>
    <w:rsid w:val="00C702C7"/>
    <w:pPr>
      <w:spacing w:after="0" w:line="240" w:lineRule="auto"/>
    </w:pPr>
    <w:rPr>
      <w:rFonts w:ascii="Tahoma" w:hAnsi="Tahoma" w:cs="Tahoma"/>
      <w:sz w:val="16"/>
      <w:szCs w:val="16"/>
    </w:rPr>
  </w:style>
  <w:style w:type="paragraph" w:customStyle="1" w:styleId="Subject">
    <w:name w:val="Subject"/>
    <w:basedOn w:val="Normal"/>
    <w:semiHidden/>
    <w:qFormat/>
    <w:rsid w:val="00A43B3E"/>
    <w:rPr>
      <w:b/>
    </w:rPr>
  </w:style>
  <w:style w:type="paragraph" w:styleId="ListBullet">
    <w:name w:val="List Bullet"/>
    <w:basedOn w:val="Normal"/>
    <w:uiPriority w:val="99"/>
    <w:qFormat/>
    <w:rsid w:val="0064309A"/>
    <w:pPr>
      <w:numPr>
        <w:numId w:val="2"/>
      </w:numPr>
      <w:tabs>
        <w:tab w:val="left" w:pos="227"/>
      </w:tabs>
      <w:contextualSpacing/>
    </w:pPr>
  </w:style>
  <w:style w:type="paragraph" w:styleId="ListBullet2">
    <w:name w:val="List Bullet 2"/>
    <w:basedOn w:val="Normal"/>
    <w:uiPriority w:val="99"/>
    <w:qFormat/>
    <w:rsid w:val="00805255"/>
  </w:style>
  <w:style w:type="paragraph" w:styleId="ListNumber">
    <w:name w:val="List Number"/>
    <w:basedOn w:val="Normal"/>
    <w:uiPriority w:val="99"/>
    <w:qFormat/>
    <w:rsid w:val="00805255"/>
  </w:style>
  <w:style w:type="paragraph" w:styleId="ListNumber2">
    <w:name w:val="List Number 2"/>
    <w:basedOn w:val="Normal"/>
    <w:uiPriority w:val="99"/>
    <w:qFormat/>
    <w:rsid w:val="00805255"/>
  </w:style>
  <w:style w:type="paragraph" w:styleId="FootnoteText">
    <w:name w:val="footnote text"/>
    <w:basedOn w:val="Normal"/>
    <w:link w:val="FootnoteTextChar"/>
    <w:uiPriority w:val="99"/>
    <w:semiHidden/>
    <w:rsid w:val="00F3081C"/>
    <w:pPr>
      <w:spacing w:after="0" w:line="240" w:lineRule="auto"/>
    </w:pPr>
    <w:rPr>
      <w:sz w:val="16"/>
      <w:szCs w:val="20"/>
    </w:rPr>
  </w:style>
  <w:style w:type="paragraph" w:customStyle="1" w:styleId="Documenttitle">
    <w:name w:val="Document title"/>
    <w:next w:val="Normal"/>
    <w:semiHidden/>
    <w:qFormat/>
    <w:rsid w:val="00B262AB"/>
    <w:pPr>
      <w:pBdr>
        <w:bottom w:val="single" w:sz="18" w:space="1" w:color="A6A6A6" w:themeColor="light1" w:themeShade="A6"/>
      </w:pBdr>
      <w:spacing w:after="130" w:line="340" w:lineRule="atLeast"/>
    </w:pPr>
    <w:rPr>
      <w:rFonts w:asciiTheme="majorHAnsi" w:eastAsiaTheme="majorEastAsia" w:hAnsiTheme="majorHAnsi" w:cstheme="majorBidi"/>
      <w:bCs/>
      <w:color w:val="DA291C" w:themeColor="background2"/>
      <w:sz w:val="38"/>
      <w:szCs w:val="28"/>
    </w:rPr>
  </w:style>
  <w:style w:type="paragraph" w:customStyle="1" w:styleId="Subheading">
    <w:name w:val="Subheading"/>
    <w:basedOn w:val="Normal"/>
    <w:next w:val="Normal"/>
    <w:semiHidden/>
    <w:qFormat/>
    <w:rsid w:val="00D236E8"/>
    <w:pPr>
      <w:spacing w:after="0"/>
    </w:pPr>
    <w:rPr>
      <w:rFonts w:asciiTheme="majorHAnsi" w:eastAsiaTheme="majorEastAsia" w:hAnsiTheme="majorHAnsi" w:cstheme="majorBidi"/>
      <w:b/>
      <w:bCs/>
      <w:iCs/>
    </w:rPr>
  </w:style>
  <w:style w:type="paragraph" w:customStyle="1" w:styleId="Website">
    <w:name w:val="Website"/>
    <w:basedOn w:val="Footer"/>
    <w:qFormat/>
    <w:rsid w:val="00805255"/>
    <w:pPr>
      <w:spacing w:after="40"/>
    </w:pPr>
    <w:rPr>
      <w:color w:val="DA291C" w:themeColor="accent1"/>
      <w:sz w:val="22"/>
    </w:rPr>
  </w:style>
  <w:style w:type="paragraph" w:customStyle="1" w:styleId="DocumentTitle1">
    <w:name w:val="Document Title1"/>
    <w:basedOn w:val="Normal"/>
    <w:qFormat/>
    <w:rsid w:val="00DB72CE"/>
    <w:pPr>
      <w:spacing w:before="240" w:after="240" w:line="1000" w:lineRule="exact"/>
    </w:pPr>
    <w:rPr>
      <w:rFonts w:ascii="Trade Gothic LT Com Cn" w:hAnsi="Trade Gothic LT Com Cn"/>
      <w:caps/>
      <w:sz w:val="100"/>
    </w:rPr>
  </w:style>
  <w:style w:type="paragraph" w:customStyle="1" w:styleId="DocumentSubtitle">
    <w:name w:val="Document Subtitle"/>
    <w:basedOn w:val="Normal"/>
    <w:next w:val="DocumentDescription"/>
    <w:qFormat/>
    <w:rsid w:val="000D30A0"/>
    <w:pPr>
      <w:spacing w:after="0"/>
    </w:pPr>
    <w:rPr>
      <w:rFonts w:asciiTheme="majorHAnsi" w:hAnsiTheme="majorHAnsi"/>
      <w:b/>
      <w:color w:val="DA291C" w:themeColor="accent1"/>
      <w:sz w:val="48"/>
    </w:rPr>
  </w:style>
  <w:style w:type="paragraph" w:customStyle="1" w:styleId="Tabletext">
    <w:name w:val="Table text"/>
    <w:basedOn w:val="Normal"/>
    <w:qFormat/>
    <w:rsid w:val="0097186F"/>
    <w:pPr>
      <w:spacing w:after="0" w:line="240" w:lineRule="auto"/>
    </w:pPr>
  </w:style>
  <w:style w:type="paragraph" w:customStyle="1" w:styleId="Tableheading">
    <w:name w:val="Table heading"/>
    <w:basedOn w:val="Tabletext"/>
    <w:qFormat/>
    <w:rsid w:val="0064309A"/>
    <w:rPr>
      <w:color w:val="FFFFFF" w:themeColor="background1"/>
      <w:sz w:val="24"/>
    </w:rPr>
  </w:style>
  <w:style w:type="paragraph" w:customStyle="1" w:styleId="DocumentDescription">
    <w:name w:val="Document Description"/>
    <w:basedOn w:val="DocumentSubtitle"/>
    <w:qFormat/>
    <w:rsid w:val="00D14CD0"/>
    <w:rPr>
      <w:b w:val="0"/>
      <w:color w:val="000000" w:themeColor="text1"/>
      <w:sz w:val="44"/>
    </w:rPr>
  </w:style>
  <w:style w:type="paragraph" w:customStyle="1" w:styleId="PullOutQuote">
    <w:name w:val="Pull Out Quote"/>
    <w:basedOn w:val="Normal"/>
    <w:next w:val="Normal"/>
    <w:qFormat/>
    <w:rsid w:val="0064309A"/>
    <w:pPr>
      <w:spacing w:before="120" w:after="240" w:line="360" w:lineRule="atLeast"/>
    </w:pPr>
    <w:rPr>
      <w:caps/>
      <w:sz w:val="36"/>
    </w:rPr>
  </w:style>
  <w:style w:type="paragraph" w:customStyle="1" w:styleId="PictureQuotetext">
    <w:name w:val="Picture Quote text"/>
    <w:basedOn w:val="Normal"/>
    <w:qFormat/>
    <w:rsid w:val="00D14CD0"/>
    <w:pPr>
      <w:spacing w:after="0"/>
    </w:pPr>
    <w:rPr>
      <w:b/>
    </w:rPr>
  </w:style>
  <w:style w:type="paragraph" w:customStyle="1" w:styleId="PhotoCredit">
    <w:name w:val="Photo Credit"/>
    <w:basedOn w:val="Normal"/>
    <w:qFormat/>
    <w:rsid w:val="00D14CD0"/>
    <w:pPr>
      <w:spacing w:after="0"/>
      <w:ind w:left="284"/>
    </w:pPr>
  </w:style>
  <w:style w:type="paragraph" w:styleId="ListParagraph">
    <w:name w:val="List Paragraph"/>
    <w:basedOn w:val="Normal"/>
    <w:link w:val="ListParagraphChar"/>
    <w:uiPriority w:val="34"/>
    <w:qFormat/>
    <w:rsid w:val="007710D2"/>
    <w:pPr>
      <w:spacing w:after="200" w:line="288" w:lineRule="auto"/>
      <w:ind w:left="720"/>
      <w:contextualSpacing/>
    </w:pPr>
    <w:rPr>
      <w:rFonts w:eastAsiaTheme="minorEastAsia"/>
      <w:i/>
      <w:iCs/>
      <w:sz w:val="20"/>
      <w:szCs w:val="20"/>
      <w:lang w:val="en-US"/>
    </w:rPr>
  </w:style>
  <w:style w:type="paragraph" w:styleId="CommentText">
    <w:name w:val="annotation text"/>
    <w:basedOn w:val="Normal"/>
    <w:link w:val="CommentTextChar"/>
    <w:uiPriority w:val="99"/>
    <w:semiHidden/>
    <w:rsid w:val="00135589"/>
    <w:pPr>
      <w:spacing w:line="240" w:lineRule="auto"/>
    </w:pPr>
    <w:rPr>
      <w:sz w:val="20"/>
      <w:szCs w:val="20"/>
    </w:rPr>
  </w:style>
  <w:style w:type="paragraph" w:styleId="CommentSubject">
    <w:name w:val="annotation subject"/>
    <w:basedOn w:val="CommentText"/>
    <w:next w:val="CommentText"/>
    <w:link w:val="CommentSubjectChar"/>
    <w:uiPriority w:val="99"/>
    <w:semiHidden/>
    <w:qFormat/>
    <w:rsid w:val="00135589"/>
    <w:rPr>
      <w:b/>
      <w:bCs/>
    </w:rPr>
  </w:style>
  <w:style w:type="paragraph" w:styleId="Revision">
    <w:name w:val="Revision"/>
    <w:uiPriority w:val="99"/>
    <w:semiHidden/>
    <w:qFormat/>
    <w:rsid w:val="00D445F0"/>
    <w:rPr>
      <w:rFonts w:ascii="Gill Sans Infant Std" w:eastAsia="Gill Sans Infant Std" w:hAnsi="Gill Sans Infant Std"/>
      <w:color w:val="000000" w:themeColor="text1"/>
    </w:rPr>
  </w:style>
  <w:style w:type="paragraph" w:customStyle="1" w:styleId="ColorfulList-Accent11">
    <w:name w:val="Colorful List - Accent 11"/>
    <w:basedOn w:val="Normal"/>
    <w:qFormat/>
    <w:rsid w:val="00D445F0"/>
    <w:pPr>
      <w:spacing w:after="0" w:line="240" w:lineRule="auto"/>
      <w:ind w:left="720"/>
    </w:pPr>
    <w:rPr>
      <w:rFonts w:ascii="Calibri" w:eastAsia="Calibri" w:hAnsi="Calibri" w:cs="Times New Roman"/>
      <w:lang w:eastAsia="en-GB"/>
    </w:rPr>
  </w:style>
  <w:style w:type="paragraph" w:customStyle="1" w:styleId="TableContents">
    <w:name w:val="Table Contents"/>
    <w:basedOn w:val="Normal"/>
    <w:qFormat/>
  </w:style>
  <w:style w:type="paragraph" w:customStyle="1" w:styleId="TableHeading1">
    <w:name w:val="Table Heading1"/>
    <w:basedOn w:val="Normal"/>
    <w:qFormat/>
    <w:rsid w:val="00427EC9"/>
    <w:pPr>
      <w:spacing w:before="60" w:after="60" w:line="240" w:lineRule="auto"/>
    </w:pPr>
    <w:rPr>
      <w:rFonts w:ascii="Arial" w:eastAsia="Times New Roman" w:hAnsi="Arial" w:cs="Times New Roman"/>
      <w:b/>
      <w:sz w:val="20"/>
      <w:szCs w:val="20"/>
      <w:lang w:val="en-AU"/>
    </w:rPr>
  </w:style>
  <w:style w:type="paragraph" w:customStyle="1" w:styleId="TableNormal1">
    <w:name w:val="Table Normal1"/>
    <w:basedOn w:val="Normal"/>
    <w:link w:val="NormalTableChar"/>
    <w:qFormat/>
    <w:rsid w:val="00427EC9"/>
    <w:pPr>
      <w:spacing w:before="60" w:after="60" w:line="240" w:lineRule="auto"/>
    </w:pPr>
    <w:rPr>
      <w:rFonts w:ascii="Arial" w:eastAsia="Times New Roman" w:hAnsi="Arial" w:cs="Times New Roman"/>
      <w:sz w:val="20"/>
      <w:szCs w:val="20"/>
      <w:lang w:val="en-AU"/>
    </w:rPr>
  </w:style>
  <w:style w:type="paragraph" w:styleId="IndexHeading">
    <w:name w:val="index heading"/>
    <w:basedOn w:val="Heading"/>
  </w:style>
  <w:style w:type="paragraph" w:styleId="TOCHeading">
    <w:name w:val="TOC Heading"/>
    <w:basedOn w:val="Heading1"/>
    <w:next w:val="Normal"/>
    <w:uiPriority w:val="39"/>
    <w:unhideWhenUsed/>
    <w:qFormat/>
    <w:rsid w:val="003044BD"/>
    <w:pPr>
      <w:spacing w:before="240" w:after="0" w:line="259" w:lineRule="auto"/>
      <w:outlineLvl w:val="9"/>
    </w:pPr>
    <w:rPr>
      <w:bCs w:val="0"/>
      <w:caps w:val="0"/>
      <w:color w:val="A31E15" w:themeColor="accent1" w:themeShade="BF"/>
      <w:sz w:val="32"/>
      <w:szCs w:val="32"/>
      <w:lang w:val="it-IT" w:eastAsia="it-IT"/>
    </w:rPr>
  </w:style>
  <w:style w:type="paragraph" w:styleId="TOC1">
    <w:name w:val="toc 1"/>
    <w:basedOn w:val="Normal"/>
    <w:next w:val="Normal"/>
    <w:autoRedefine/>
    <w:uiPriority w:val="39"/>
    <w:unhideWhenUsed/>
    <w:rsid w:val="004F4EA5"/>
    <w:pPr>
      <w:tabs>
        <w:tab w:val="left" w:pos="426"/>
        <w:tab w:val="right" w:leader="dot" w:pos="9592"/>
      </w:tabs>
      <w:spacing w:after="100"/>
    </w:pPr>
  </w:style>
  <w:style w:type="paragraph" w:styleId="TOC2">
    <w:name w:val="toc 2"/>
    <w:basedOn w:val="Normal"/>
    <w:next w:val="Normal"/>
    <w:autoRedefine/>
    <w:uiPriority w:val="39"/>
    <w:unhideWhenUsed/>
    <w:rsid w:val="003044BD"/>
    <w:pPr>
      <w:spacing w:after="100"/>
      <w:ind w:left="220"/>
    </w:pPr>
  </w:style>
  <w:style w:type="paragraph" w:styleId="TOC3">
    <w:name w:val="toc 3"/>
    <w:basedOn w:val="Normal"/>
    <w:next w:val="Normal"/>
    <w:autoRedefine/>
    <w:uiPriority w:val="39"/>
    <w:unhideWhenUsed/>
    <w:rsid w:val="003044BD"/>
    <w:pPr>
      <w:spacing w:after="100"/>
      <w:ind w:left="440"/>
    </w:pPr>
  </w:style>
  <w:style w:type="paragraph" w:customStyle="1" w:styleId="paragraph">
    <w:name w:val="paragraph"/>
    <w:basedOn w:val="Normal"/>
    <w:qFormat/>
    <w:rsid w:val="00E2279A"/>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FrameContents">
    <w:name w:val="Frame Contents"/>
    <w:basedOn w:val="Normal"/>
    <w:qFormat/>
  </w:style>
  <w:style w:type="table" w:styleId="TableGrid">
    <w:name w:val="Table Grid"/>
    <w:basedOn w:val="TableNormal"/>
    <w:uiPriority w:val="59"/>
    <w:rsid w:val="00025E7D"/>
    <w:tblPr/>
  </w:style>
  <w:style w:type="table" w:styleId="GridTable1Light-Accent1">
    <w:name w:val="Grid Table 1 Light Accent 1"/>
    <w:basedOn w:val="TableNormal"/>
    <w:uiPriority w:val="46"/>
    <w:rsid w:val="007710D2"/>
    <w:rPr>
      <w:rFonts w:eastAsiaTheme="minorEastAsia"/>
      <w:lang w:val="en-US"/>
    </w:rPr>
    <w:tblPr>
      <w:tblStyleRowBandSize w:val="1"/>
      <w:tblStyleColBandSize w:val="1"/>
      <w:tblBorders>
        <w:top w:val="single" w:sz="4" w:space="0" w:color="F3A6A1" w:themeColor="accent1" w:themeTint="66"/>
        <w:left w:val="single" w:sz="4" w:space="0" w:color="F3A6A1" w:themeColor="accent1" w:themeTint="66"/>
        <w:bottom w:val="single" w:sz="4" w:space="0" w:color="F3A6A1" w:themeColor="accent1" w:themeTint="66"/>
        <w:right w:val="single" w:sz="4" w:space="0" w:color="F3A6A1" w:themeColor="accent1" w:themeTint="66"/>
        <w:insideH w:val="single" w:sz="4" w:space="0" w:color="F3A6A1" w:themeColor="accent1" w:themeTint="66"/>
        <w:insideV w:val="single" w:sz="4" w:space="0" w:color="F3A6A1" w:themeColor="accent1" w:themeTint="66"/>
      </w:tblBorders>
    </w:tblPr>
    <w:tblStylePr w:type="firstRow">
      <w:rPr>
        <w:b/>
        <w:bCs/>
      </w:rPr>
      <w:tblPr/>
      <w:tcPr>
        <w:tcBorders>
          <w:bottom w:val="single" w:sz="12" w:space="0" w:color="DA291C" w:themeColor="accent1"/>
        </w:tcBorders>
      </w:tcPr>
    </w:tblStylePr>
    <w:tblStylePr w:type="lastRow">
      <w:rPr>
        <w:b/>
        <w:bCs/>
      </w:rPr>
      <w:tblPr/>
      <w:tcPr>
        <w:tcBorders>
          <w:top w:val="double" w:sz="2" w:space="0" w:color="DA291C" w:themeColor="accent1"/>
        </w:tcBorders>
      </w:tcPr>
    </w:tblStylePr>
    <w:tblStylePr w:type="firstCol">
      <w:rPr>
        <w:b/>
        <w:bCs/>
      </w:rPr>
    </w:tblStylePr>
    <w:tblStylePr w:type="lastCol">
      <w:rPr>
        <w:b/>
        <w:bCs/>
      </w:rPr>
    </w:tblStylePr>
  </w:style>
  <w:style w:type="table" w:styleId="PlainTable2">
    <w:name w:val="Plain Table 2"/>
    <w:basedOn w:val="TableNormal"/>
    <w:uiPriority w:val="42"/>
    <w:rsid w:val="00A2370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GridTable1Light-Accent3">
    <w:name w:val="Grid Table 1 Light Accent 3"/>
    <w:basedOn w:val="TableNormal"/>
    <w:uiPriority w:val="46"/>
    <w:rsid w:val="00693C9D"/>
    <w:tblPr>
      <w:tblStyleRowBandSize w:val="1"/>
      <w:tblStyleColBandSize w:val="1"/>
      <w:tblBorders>
        <w:top w:val="single" w:sz="4" w:space="0" w:color="E6A197" w:themeColor="accent3" w:themeTint="66"/>
        <w:left w:val="single" w:sz="4" w:space="0" w:color="E6A197" w:themeColor="accent3" w:themeTint="66"/>
        <w:bottom w:val="single" w:sz="4" w:space="0" w:color="E6A197" w:themeColor="accent3" w:themeTint="66"/>
        <w:right w:val="single" w:sz="4" w:space="0" w:color="E6A197" w:themeColor="accent3" w:themeTint="66"/>
        <w:insideH w:val="single" w:sz="4" w:space="0" w:color="E6A197" w:themeColor="accent3" w:themeTint="66"/>
        <w:insideV w:val="single" w:sz="4" w:space="0" w:color="E6A197" w:themeColor="accent3" w:themeTint="66"/>
      </w:tblBorders>
    </w:tblPr>
    <w:tblStylePr w:type="firstRow">
      <w:rPr>
        <w:b/>
        <w:bCs/>
      </w:rPr>
      <w:tblPr/>
      <w:tcPr>
        <w:tcBorders>
          <w:bottom w:val="single" w:sz="12" w:space="0" w:color="9A3324" w:themeColor="accent3"/>
        </w:tcBorders>
      </w:tcPr>
    </w:tblStylePr>
    <w:tblStylePr w:type="lastRow">
      <w:rPr>
        <w:b/>
        <w:bCs/>
      </w:rPr>
      <w:tblPr/>
      <w:tcPr>
        <w:tcBorders>
          <w:top w:val="double" w:sz="2" w:space="0" w:color="9A3324" w:themeColor="accent3"/>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71289"/>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FFFFFF"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styleId="TableGridLight">
    <w:name w:val="Grid Table Light"/>
    <w:basedOn w:val="TableNormal"/>
    <w:uiPriority w:val="40"/>
    <w:rsid w:val="00971289"/>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GridTable4-Accent11">
    <w:name w:val="Grid Table 4 - Accent 11"/>
    <w:basedOn w:val="TableNormal"/>
    <w:next w:val="GridTable4-Accent1"/>
    <w:uiPriority w:val="49"/>
    <w:rsid w:val="002F035D"/>
    <w:pPr>
      <w:suppressAutoHyphens w:val="0"/>
    </w:pPr>
    <w:tblPr>
      <w:tblStyleRowBandSize w:val="1"/>
      <w:tblStyleColBandSize w:val="1"/>
      <w:tblBorders>
        <w:top w:val="single" w:sz="4" w:space="0" w:color="ED7A72"/>
        <w:left w:val="single" w:sz="4" w:space="0" w:color="ED7A72"/>
        <w:bottom w:val="single" w:sz="4" w:space="0" w:color="ED7A72"/>
        <w:right w:val="single" w:sz="4" w:space="0" w:color="ED7A72"/>
        <w:insideH w:val="single" w:sz="4" w:space="0" w:color="ED7A72"/>
        <w:insideV w:val="single" w:sz="4" w:space="0" w:color="ED7A72"/>
      </w:tblBorders>
    </w:tblPr>
    <w:tblStylePr w:type="firstRow">
      <w:rPr>
        <w:b/>
        <w:bCs/>
        <w:color w:val="FFFFFF"/>
      </w:rPr>
      <w:tblPr/>
      <w:tcPr>
        <w:tcBorders>
          <w:top w:val="single" w:sz="4" w:space="0" w:color="DA291C"/>
          <w:left w:val="single" w:sz="4" w:space="0" w:color="DA291C"/>
          <w:bottom w:val="single" w:sz="4" w:space="0" w:color="DA291C"/>
          <w:right w:val="single" w:sz="4" w:space="0" w:color="DA291C"/>
          <w:insideH w:val="nil"/>
          <w:insideV w:val="nil"/>
        </w:tcBorders>
        <w:shd w:val="clear" w:color="auto" w:fill="DA291C"/>
      </w:tcPr>
    </w:tblStylePr>
    <w:tblStylePr w:type="lastRow">
      <w:rPr>
        <w:b/>
        <w:bCs/>
      </w:rPr>
      <w:tblPr/>
      <w:tcPr>
        <w:tcBorders>
          <w:top w:val="double" w:sz="4" w:space="0" w:color="DA291C"/>
        </w:tcBorders>
      </w:tcPr>
    </w:tblStylePr>
    <w:tblStylePr w:type="firstCol">
      <w:rPr>
        <w:b/>
        <w:bCs/>
      </w:rPr>
    </w:tblStylePr>
    <w:tblStylePr w:type="lastCol">
      <w:rPr>
        <w:b/>
        <w:bCs/>
      </w:rPr>
    </w:tblStylePr>
    <w:tblStylePr w:type="band1Vert">
      <w:tblPr/>
      <w:tcPr>
        <w:shd w:val="clear" w:color="auto" w:fill="F9D2D0"/>
      </w:tcPr>
    </w:tblStylePr>
    <w:tblStylePr w:type="band1Horz">
      <w:tblPr/>
      <w:tcPr>
        <w:shd w:val="clear" w:color="auto" w:fill="F9D2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ave the Children colour theme">
      <a:dk1>
        <a:srgbClr val="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a:majorFont>
        <a:latin typeface="Gill Sans Infant Std"/>
        <a:ea typeface=""/>
        <a:cs typeface=""/>
      </a:majorFont>
      <a:minorFont>
        <a:latin typeface="Gill Sans Infant Std"/>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7e91220-c92d-4f01-b9e4-40db9146c3c8">
      <UserInfo>
        <DisplayName>Kvintradze, Ana</DisplayName>
        <AccountId>13</AccountId>
        <AccountType/>
      </UserInfo>
      <UserInfo>
        <DisplayName>Armeier (Arnold), Katherine</DisplayName>
        <AccountId>25</AccountId>
        <AccountType/>
      </UserInfo>
      <UserInfo>
        <DisplayName>Arun Verma</DisplayName>
        <AccountId>19</AccountId>
        <AccountType/>
      </UserInfo>
      <UserInfo>
        <DisplayName>Jovanovic, Katarina</DisplayName>
        <AccountId>17</AccountId>
        <AccountType/>
      </UserInfo>
      <UserInfo>
        <DisplayName>Abimpaye, Monique</DisplayName>
        <AccountId>14</AccountId>
        <AccountType/>
      </UserInfo>
      <UserInfo>
        <DisplayName>Kasundu, Bosco</DisplayName>
        <AccountId>12</AccountId>
        <AccountType/>
      </UserInfo>
      <UserInfo>
        <DisplayName>Haden Pawlowski, Virgil</DisplayName>
        <AccountId>15</AccountId>
        <AccountType/>
      </UserInfo>
      <UserInfo>
        <DisplayName>Dausendschon, Alina</DisplayName>
        <AccountId>48</AccountId>
        <AccountType/>
      </UserInfo>
      <UserInfo>
        <DisplayName>Vanhoorickx, Luc</DisplayName>
        <AccountId>20</AccountId>
        <AccountType/>
      </UserInfo>
      <UserInfo>
        <DisplayName>Solomon, Hadley</DisplayName>
        <AccountId>29</AccountId>
        <AccountType/>
      </UserInfo>
      <UserInfo>
        <DisplayName>Burgess, Melissa</DisplayName>
        <AccountId>7</AccountId>
        <AccountType/>
      </UserInfo>
      <UserInfo>
        <DisplayName>Prisca Benelli</DisplayName>
        <AccountId>24</AccountId>
        <AccountType/>
      </UserInfo>
    </SharedWithUsers>
    <_dlc_DocId xmlns="de2d85a7-12de-4554-87be-39fa92a90001">ADMIN-1205507814-3633</_dlc_DocId>
    <_dlc_DocIdUrl xmlns="de2d85a7-12de-4554-87be-39fa92a90001">
      <Url>https://savethechildren1.sharepoint.com/what/me/_layouts/15/DocIdRedir.aspx?ID=ADMIN-1205507814-3633</Url>
      <Description>ADMIN-1205507814-3633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B180C883B554428E5A4687E2983FB4" ma:contentTypeVersion="20" ma:contentTypeDescription="Create a new document." ma:contentTypeScope="" ma:versionID="e2eefd2f520c2487bd53f84324010517">
  <xsd:schema xmlns:xsd="http://www.w3.org/2001/XMLSchema" xmlns:xs="http://www.w3.org/2001/XMLSchema" xmlns:p="http://schemas.microsoft.com/office/2006/metadata/properties" xmlns:ns2="784feda1-2969-4c4c-84db-e79a31a4c1f3" xmlns:ns3="f7e91220-c92d-4f01-b9e4-40db9146c3c8" xmlns:ns4="de2d85a7-12de-4554-87be-39fa92a90001" targetNamespace="http://schemas.microsoft.com/office/2006/metadata/properties" ma:root="true" ma:fieldsID="4b35af92cf90dd7afc709b19fa541d92" ns2:_="" ns3:_="" ns4:_="">
    <xsd:import namespace="784feda1-2969-4c4c-84db-e79a31a4c1f3"/>
    <xsd:import namespace="f7e91220-c92d-4f01-b9e4-40db9146c3c8"/>
    <xsd:import namespace="de2d85a7-12de-4554-87be-39fa92a90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feda1-2969-4c4c-84db-e79a31a4c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91220-c92d-4f01-b9e4-40db9146c3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2d85a7-12de-4554-87be-39fa92a9000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8F096-6AC3-4C24-8A8C-44DCFE97F43A}">
  <ds:schemaRefs>
    <ds:schemaRef ds:uri="http://schemas.microsoft.com/office/2006/metadata/properties"/>
    <ds:schemaRef ds:uri="http://schemas.microsoft.com/office/infopath/2007/PartnerControls"/>
    <ds:schemaRef ds:uri="f7e91220-c92d-4f01-b9e4-40db9146c3c8"/>
    <ds:schemaRef ds:uri="de2d85a7-12de-4554-87be-39fa92a90001"/>
  </ds:schemaRefs>
</ds:datastoreItem>
</file>

<file path=customXml/itemProps2.xml><?xml version="1.0" encoding="utf-8"?>
<ds:datastoreItem xmlns:ds="http://schemas.openxmlformats.org/officeDocument/2006/customXml" ds:itemID="{79D57993-10E9-405B-B45E-76CF9E7E4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feda1-2969-4c4c-84db-e79a31a4c1f3"/>
    <ds:schemaRef ds:uri="f7e91220-c92d-4f01-b9e4-40db9146c3c8"/>
    <ds:schemaRef ds:uri="de2d85a7-12de-4554-87be-39fa92a90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02003-2E9E-4A31-B2A0-5CB1F827B8E2}">
  <ds:schemaRefs>
    <ds:schemaRef ds:uri="http://schemas.microsoft.com/sharepoint/v3/contenttype/forms"/>
  </ds:schemaRefs>
</ds:datastoreItem>
</file>

<file path=customXml/itemProps4.xml><?xml version="1.0" encoding="utf-8"?>
<ds:datastoreItem xmlns:ds="http://schemas.openxmlformats.org/officeDocument/2006/customXml" ds:itemID="{BDC4E7C3-5851-40DD-9260-E173BA5E786E}">
  <ds:schemaRefs>
    <ds:schemaRef ds:uri="http://schemas.microsoft.com/sharepoint/events"/>
  </ds:schemaRefs>
</ds:datastoreItem>
</file>

<file path=customXml/itemProps5.xml><?xml version="1.0" encoding="utf-8"?>
<ds:datastoreItem xmlns:ds="http://schemas.openxmlformats.org/officeDocument/2006/customXml" ds:itemID="{A8F47D71-B167-4037-B91C-072FEB166C7A}">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34</TotalTime>
  <Pages>35</Pages>
  <Words>10949</Words>
  <Characters>62410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Kvintradze, Ana</dc:creator>
  <dc:description/>
  <cp:lastModifiedBy>Abdelgayoum, Akram</cp:lastModifiedBy>
  <cp:revision>16</cp:revision>
  <cp:lastPrinted>2016-04-22T17:04:00Z</cp:lastPrinted>
  <dcterms:created xsi:type="dcterms:W3CDTF">2026-09-02T09:59:00Z</dcterms:created>
  <dcterms:modified xsi:type="dcterms:W3CDTF">2026-09-02T13:00:00Z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0x01010029B180C883B554428E5A4687E2983FB4</vt:lpwstr>
  </property>
  <property fmtid="{D5CDD505-2E9C-101B-9397-08002B2CF9AE}" pid="4" name="Order">
    <vt:r8>11700</vt:r8>
  </property>
  <property fmtid="{D5CDD505-2E9C-101B-9397-08002B2CF9AE}" pid="5" name="TemplateUrl">
    <vt:lpwstr/>
  </property>
  <property fmtid="{D5CDD505-2E9C-101B-9397-08002B2CF9AE}" pid="6" name="_dlc_DocIdItemGuid">
    <vt:lpwstr>de7afe92-9d53-49a1-9d0a-045ba5b42bc3</vt:lpwstr>
  </property>
  <property fmtid="{D5CDD505-2E9C-101B-9397-08002B2CF9AE}" pid="7" name="xd_ProgID">
    <vt:lpwstr/>
  </property>
  <property fmtid="{D5CDD505-2E9C-101B-9397-08002B2CF9AE}" pid="8" name="xd_Signature">
    <vt:bool>false</vt:bool>
  </property>
</Properties>
</file>