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E44C" w14:textId="77777777" w:rsidR="00535BBF" w:rsidRPr="000844D4" w:rsidRDefault="000844D4" w:rsidP="000844D4">
      <w:pPr>
        <w:pStyle w:val="Heading1"/>
        <w:jc w:val="center"/>
        <w:rPr>
          <w:color w:val="FF0000"/>
        </w:rPr>
      </w:pPr>
      <w:r w:rsidRPr="000844D4">
        <w:rPr>
          <w:color w:val="FF0000"/>
        </w:rPr>
        <w:t>Terms of Reference (ToR)</w:t>
      </w:r>
    </w:p>
    <w:p w14:paraId="38272A07" w14:textId="77777777" w:rsidR="00535BBF" w:rsidRDefault="000844D4" w:rsidP="000844D4">
      <w:pPr>
        <w:pStyle w:val="Heading2"/>
        <w:jc w:val="center"/>
        <w:rPr>
          <w:color w:val="FF0000"/>
        </w:rPr>
      </w:pPr>
      <w:r w:rsidRPr="000844D4">
        <w:rPr>
          <w:color w:val="FF0000"/>
        </w:rPr>
        <w:t>Teachers’ Competencies Assessment (TCA)</w:t>
      </w:r>
    </w:p>
    <w:p w14:paraId="5184101B" w14:textId="77777777" w:rsidR="00535BBF" w:rsidRDefault="000844D4" w:rsidP="000844D4">
      <w:pPr>
        <w:jc w:val="center"/>
        <w:rPr>
          <w:b/>
          <w:bCs/>
          <w:color w:val="FF0000"/>
        </w:rPr>
      </w:pPr>
      <w:r w:rsidRPr="000844D4">
        <w:rPr>
          <w:b/>
          <w:bCs/>
          <w:color w:val="FF0000"/>
        </w:rPr>
        <w:t>January 2026</w:t>
      </w:r>
    </w:p>
    <w:p w14:paraId="526AB32D" w14:textId="2443380B" w:rsidR="00535BBF" w:rsidRDefault="000844D4">
      <w:r w:rsidRPr="000844D4">
        <w:rPr>
          <w:b/>
          <w:bCs/>
          <w:i/>
          <w:iCs/>
        </w:rPr>
        <w:t>Save the Children – Sudan Country Office</w:t>
      </w:r>
      <w:r w:rsidRPr="000844D4">
        <w:rPr>
          <w:b/>
          <w:bCs/>
          <w:i/>
          <w:iCs/>
        </w:rPr>
        <w:br/>
        <w:t xml:space="preserve">These Terms of Reference </w:t>
      </w:r>
      <w:r>
        <w:rPr>
          <w:b/>
          <w:bCs/>
          <w:i/>
          <w:iCs/>
        </w:rPr>
        <w:t>are</w:t>
      </w:r>
      <w:r w:rsidRPr="000844D4">
        <w:rPr>
          <w:b/>
          <w:bCs/>
          <w:i/>
          <w:iCs/>
        </w:rPr>
        <w:t xml:space="preserve"> issued as part of an announcement to invite qualified consultants to conduct a Teachers’ Competencies Assessment</w:t>
      </w:r>
      <w:r>
        <w:t>.</w:t>
      </w:r>
    </w:p>
    <w:p w14:paraId="6268973E" w14:textId="77777777" w:rsidR="00535BBF" w:rsidRPr="000844D4" w:rsidRDefault="000844D4">
      <w:pPr>
        <w:pStyle w:val="Heading2"/>
        <w:rPr>
          <w:color w:val="FF0000"/>
        </w:rPr>
      </w:pPr>
      <w:r w:rsidRPr="000844D4">
        <w:rPr>
          <w:color w:val="FF0000"/>
        </w:rPr>
        <w:t>1. Background and Context</w:t>
      </w:r>
    </w:p>
    <w:p w14:paraId="617F13D1" w14:textId="77777777" w:rsidR="00535BBF" w:rsidRDefault="000844D4">
      <w:r>
        <w:t>Save the Children has been working in Sudan since 1984, delivering programmes across education, child protection, health and nutrition, WASH, food security and livelihoods, and humanitarian assistance. Sudan continues to face a protracted crisis, with approximately 19 million school-aged children currently out of school. Improving the quality of teaching remains a critical priority to ensure inclusive, safe, and effective learning for all children.</w:t>
      </w:r>
    </w:p>
    <w:p w14:paraId="63282126" w14:textId="77777777" w:rsidR="00535BBF" w:rsidRPr="000844D4" w:rsidRDefault="000844D4">
      <w:pPr>
        <w:pStyle w:val="Heading2"/>
        <w:rPr>
          <w:color w:val="FF0000"/>
        </w:rPr>
      </w:pPr>
      <w:r w:rsidRPr="000844D4">
        <w:rPr>
          <w:color w:val="FF0000"/>
        </w:rPr>
        <w:t>2. Project Summary</w:t>
      </w:r>
    </w:p>
    <w:tbl>
      <w:tblPr>
        <w:tblStyle w:val="TableGrid"/>
        <w:tblW w:w="0" w:type="auto"/>
        <w:tblLook w:val="04A0" w:firstRow="1" w:lastRow="0" w:firstColumn="1" w:lastColumn="0" w:noHBand="0" w:noVBand="1"/>
      </w:tblPr>
      <w:tblGrid>
        <w:gridCol w:w="4315"/>
        <w:gridCol w:w="4315"/>
      </w:tblGrid>
      <w:tr w:rsidR="00535BBF" w14:paraId="3566E05C" w14:textId="77777777">
        <w:tc>
          <w:tcPr>
            <w:tcW w:w="4320" w:type="dxa"/>
          </w:tcPr>
          <w:p w14:paraId="158CA20C" w14:textId="77777777" w:rsidR="00535BBF" w:rsidRDefault="000844D4">
            <w:r>
              <w:t>Item</w:t>
            </w:r>
          </w:p>
        </w:tc>
        <w:tc>
          <w:tcPr>
            <w:tcW w:w="4320" w:type="dxa"/>
          </w:tcPr>
          <w:p w14:paraId="4F3167C5" w14:textId="77777777" w:rsidR="00535BBF" w:rsidRDefault="000844D4">
            <w:r>
              <w:t>Description</w:t>
            </w:r>
          </w:p>
        </w:tc>
      </w:tr>
      <w:tr w:rsidR="00535BBF" w14:paraId="29603B0B" w14:textId="77777777">
        <w:tc>
          <w:tcPr>
            <w:tcW w:w="4320" w:type="dxa"/>
          </w:tcPr>
          <w:p w14:paraId="46BA038F" w14:textId="77777777" w:rsidR="00535BBF" w:rsidRDefault="000844D4">
            <w:r>
              <w:t>Type of Assessment</w:t>
            </w:r>
          </w:p>
        </w:tc>
        <w:tc>
          <w:tcPr>
            <w:tcW w:w="4320" w:type="dxa"/>
          </w:tcPr>
          <w:p w14:paraId="6927727E" w14:textId="77777777" w:rsidR="00535BBF" w:rsidRDefault="000844D4">
            <w:r>
              <w:t>Teacher Competency Assessment</w:t>
            </w:r>
          </w:p>
        </w:tc>
      </w:tr>
      <w:tr w:rsidR="00535BBF" w14:paraId="4E1939BB" w14:textId="77777777">
        <w:tc>
          <w:tcPr>
            <w:tcW w:w="4320" w:type="dxa"/>
          </w:tcPr>
          <w:p w14:paraId="6BC5E4B8" w14:textId="77777777" w:rsidR="00535BBF" w:rsidRDefault="000844D4">
            <w:r>
              <w:t>Project Title</w:t>
            </w:r>
          </w:p>
        </w:tc>
        <w:tc>
          <w:tcPr>
            <w:tcW w:w="4320" w:type="dxa"/>
          </w:tcPr>
          <w:p w14:paraId="21E44AE0" w14:textId="77777777" w:rsidR="00535BBF" w:rsidRDefault="000844D4">
            <w:r>
              <w:t>EU Inclusive Quality Education for the Most Vulnerable Children in Sudan (24600205)</w:t>
            </w:r>
          </w:p>
        </w:tc>
      </w:tr>
      <w:tr w:rsidR="00535BBF" w14:paraId="7FD240F4" w14:textId="77777777">
        <w:tc>
          <w:tcPr>
            <w:tcW w:w="4320" w:type="dxa"/>
          </w:tcPr>
          <w:p w14:paraId="38C8AA47" w14:textId="77777777" w:rsidR="00535BBF" w:rsidRDefault="000844D4">
            <w:r>
              <w:t>Project Duration</w:t>
            </w:r>
          </w:p>
        </w:tc>
        <w:tc>
          <w:tcPr>
            <w:tcW w:w="4320" w:type="dxa"/>
          </w:tcPr>
          <w:p w14:paraId="05393C7D" w14:textId="77777777" w:rsidR="00535BBF" w:rsidRDefault="000844D4">
            <w:r>
              <w:t>39 months</w:t>
            </w:r>
          </w:p>
        </w:tc>
      </w:tr>
      <w:tr w:rsidR="00535BBF" w14:paraId="4B8AFA54" w14:textId="77777777">
        <w:tc>
          <w:tcPr>
            <w:tcW w:w="4320" w:type="dxa"/>
          </w:tcPr>
          <w:p w14:paraId="4012BDA9" w14:textId="77777777" w:rsidR="00535BBF" w:rsidRDefault="000844D4">
            <w:r>
              <w:t>Project Period</w:t>
            </w:r>
          </w:p>
        </w:tc>
        <w:tc>
          <w:tcPr>
            <w:tcW w:w="4320" w:type="dxa"/>
          </w:tcPr>
          <w:p w14:paraId="2A02E153" w14:textId="77777777" w:rsidR="00535BBF" w:rsidRDefault="000844D4">
            <w:r>
              <w:t>01 January 2023 – 30 June 2026</w:t>
            </w:r>
          </w:p>
        </w:tc>
      </w:tr>
      <w:tr w:rsidR="00535BBF" w14:paraId="6B53DC4B" w14:textId="77777777">
        <w:tc>
          <w:tcPr>
            <w:tcW w:w="4320" w:type="dxa"/>
          </w:tcPr>
          <w:p w14:paraId="2DB245CE" w14:textId="77777777" w:rsidR="00535BBF" w:rsidRDefault="000844D4">
            <w:r>
              <w:t>Assessment Locations</w:t>
            </w:r>
          </w:p>
        </w:tc>
        <w:tc>
          <w:tcPr>
            <w:tcW w:w="4320" w:type="dxa"/>
          </w:tcPr>
          <w:p w14:paraId="2B2CA8C8" w14:textId="77777777" w:rsidR="00535BBF" w:rsidRDefault="000844D4">
            <w:r>
              <w:t>Sennar, Red Sea, River Nile</w:t>
            </w:r>
          </w:p>
        </w:tc>
      </w:tr>
      <w:tr w:rsidR="00535BBF" w14:paraId="4B5DFCB0" w14:textId="77777777">
        <w:tc>
          <w:tcPr>
            <w:tcW w:w="4320" w:type="dxa"/>
          </w:tcPr>
          <w:p w14:paraId="0B3708B5" w14:textId="77777777" w:rsidR="00535BBF" w:rsidRDefault="000844D4">
            <w:r>
              <w:t>Thematic Areas</w:t>
            </w:r>
          </w:p>
        </w:tc>
        <w:tc>
          <w:tcPr>
            <w:tcW w:w="4320" w:type="dxa"/>
          </w:tcPr>
          <w:p w14:paraId="5955CB1D" w14:textId="77777777" w:rsidR="00535BBF" w:rsidRDefault="000844D4">
            <w:r>
              <w:t>Education; Child Rights Governance; Child Protection</w:t>
            </w:r>
          </w:p>
        </w:tc>
      </w:tr>
      <w:tr w:rsidR="00535BBF" w14:paraId="17B94118" w14:textId="77777777">
        <w:tc>
          <w:tcPr>
            <w:tcW w:w="4320" w:type="dxa"/>
          </w:tcPr>
          <w:p w14:paraId="6FB3CE04" w14:textId="77777777" w:rsidR="00535BBF" w:rsidRDefault="000844D4">
            <w:r>
              <w:t>Donor</w:t>
            </w:r>
          </w:p>
        </w:tc>
        <w:tc>
          <w:tcPr>
            <w:tcW w:w="4320" w:type="dxa"/>
          </w:tcPr>
          <w:p w14:paraId="5FF366BD" w14:textId="77777777" w:rsidR="00535BBF" w:rsidRDefault="000844D4">
            <w:r>
              <w:t>European Union (EUD)</w:t>
            </w:r>
          </w:p>
        </w:tc>
      </w:tr>
      <w:tr w:rsidR="00535BBF" w14:paraId="5C3AF1F1" w14:textId="77777777">
        <w:tc>
          <w:tcPr>
            <w:tcW w:w="4320" w:type="dxa"/>
          </w:tcPr>
          <w:p w14:paraId="390306CB" w14:textId="77777777" w:rsidR="00535BBF" w:rsidRDefault="000844D4">
            <w:r>
              <w:t>Estimated Beneficiaries</w:t>
            </w:r>
          </w:p>
        </w:tc>
        <w:tc>
          <w:tcPr>
            <w:tcW w:w="4320" w:type="dxa"/>
          </w:tcPr>
          <w:p w14:paraId="442861C1" w14:textId="77777777" w:rsidR="00535BBF" w:rsidRDefault="000844D4">
            <w:r>
              <w:t>83,000 children (43,418 girls; 39,582 boys)</w:t>
            </w:r>
          </w:p>
        </w:tc>
      </w:tr>
      <w:tr w:rsidR="00535BBF" w14:paraId="3013CC57" w14:textId="77777777">
        <w:tc>
          <w:tcPr>
            <w:tcW w:w="4320" w:type="dxa"/>
          </w:tcPr>
          <w:p w14:paraId="5C6099AB" w14:textId="77777777" w:rsidR="00535BBF" w:rsidRDefault="000844D4">
            <w:r>
              <w:t>Overall Objective</w:t>
            </w:r>
          </w:p>
        </w:tc>
        <w:tc>
          <w:tcPr>
            <w:tcW w:w="4320" w:type="dxa"/>
          </w:tcPr>
          <w:p w14:paraId="00F41D47" w14:textId="77777777" w:rsidR="00535BBF" w:rsidRDefault="000844D4">
            <w:r>
              <w:t>To ensure that girls and boys realise their right to quality, safe, and inclusive primary education.</w:t>
            </w:r>
          </w:p>
        </w:tc>
      </w:tr>
    </w:tbl>
    <w:p w14:paraId="0292EB25" w14:textId="77777777" w:rsidR="00535BBF" w:rsidRPr="000844D4" w:rsidRDefault="000844D4">
      <w:pPr>
        <w:pStyle w:val="Heading2"/>
        <w:rPr>
          <w:color w:val="FF0000"/>
        </w:rPr>
      </w:pPr>
      <w:r w:rsidRPr="000844D4">
        <w:rPr>
          <w:color w:val="FF0000"/>
        </w:rPr>
        <w:t>3. Project Outcomes</w:t>
      </w:r>
    </w:p>
    <w:p w14:paraId="595398A2" w14:textId="77777777" w:rsidR="00535BBF" w:rsidRDefault="000844D4">
      <w:r>
        <w:t>The assessment contributes to the following project outcomes:</w:t>
      </w:r>
    </w:p>
    <w:p w14:paraId="77136B29" w14:textId="77777777" w:rsidR="00535BBF" w:rsidRDefault="000844D4">
      <w:pPr>
        <w:pStyle w:val="ListBullet"/>
      </w:pPr>
      <w:r>
        <w:t>Improved access to inclusive, safe, protective, and quality primary education.</w:t>
      </w:r>
    </w:p>
    <w:p w14:paraId="3F02F70F" w14:textId="77777777" w:rsidR="00535BBF" w:rsidRDefault="000844D4">
      <w:pPr>
        <w:pStyle w:val="ListBullet"/>
      </w:pPr>
      <w:r>
        <w:t>Improved availability of nutritious food for students.</w:t>
      </w:r>
    </w:p>
    <w:p w14:paraId="6FCCDB54" w14:textId="77777777" w:rsidR="00535BBF" w:rsidRDefault="000844D4">
      <w:pPr>
        <w:pStyle w:val="ListBullet"/>
      </w:pPr>
      <w:r>
        <w:t>Improved access to quality child protection services.</w:t>
      </w:r>
    </w:p>
    <w:p w14:paraId="21072066" w14:textId="77777777" w:rsidR="00535BBF" w:rsidRDefault="000844D4">
      <w:pPr>
        <w:pStyle w:val="ListBullet"/>
      </w:pPr>
      <w:r>
        <w:t>Increased realisation of child rights through participation and accountability.</w:t>
      </w:r>
    </w:p>
    <w:p w14:paraId="2972BEB3" w14:textId="77777777" w:rsidR="00535BBF" w:rsidRPr="000844D4" w:rsidRDefault="000844D4">
      <w:pPr>
        <w:pStyle w:val="Heading2"/>
        <w:rPr>
          <w:color w:val="FF0000"/>
        </w:rPr>
      </w:pPr>
      <w:r w:rsidRPr="000844D4">
        <w:rPr>
          <w:color w:val="FF0000"/>
        </w:rPr>
        <w:lastRenderedPageBreak/>
        <w:t>4. Focus of the Assessment</w:t>
      </w:r>
    </w:p>
    <w:p w14:paraId="320AA41B" w14:textId="77777777" w:rsidR="00535BBF" w:rsidRDefault="000844D4">
      <w:r>
        <w:t>The assessment focuses on Outcome 1: “The quality of teaching and education services is enhanced.” It is developmental in nature and will be used exclusively to inform teacher professional development, coaching, and support interventions. The assessment will not be used for appraisal or performance management of individual teachers.</w:t>
      </w:r>
    </w:p>
    <w:p w14:paraId="5D4679CC" w14:textId="77777777" w:rsidR="00535BBF" w:rsidRPr="000844D4" w:rsidRDefault="000844D4">
      <w:pPr>
        <w:pStyle w:val="Heading2"/>
        <w:rPr>
          <w:color w:val="FF0000"/>
        </w:rPr>
      </w:pPr>
      <w:r w:rsidRPr="000844D4">
        <w:rPr>
          <w:color w:val="FF0000"/>
        </w:rPr>
        <w:t>5. Purpose and Objectives</w:t>
      </w:r>
    </w:p>
    <w:p w14:paraId="73BB66B7" w14:textId="4F2D0CFA" w:rsidR="00535BBF" w:rsidRDefault="000844D4">
      <w:pPr>
        <w:pStyle w:val="ListBullet"/>
      </w:pPr>
      <w:r>
        <w:t>Assess teacher competencies in relation to the Teacher Competency Framework (TCF).</w:t>
      </w:r>
    </w:p>
    <w:p w14:paraId="776071FD" w14:textId="77777777" w:rsidR="00535BBF" w:rsidRDefault="000844D4">
      <w:pPr>
        <w:pStyle w:val="ListBullet"/>
      </w:pPr>
      <w:r>
        <w:t>Examine classroom practices across key teaching competencies.</w:t>
      </w:r>
    </w:p>
    <w:p w14:paraId="4A01EC53" w14:textId="77777777" w:rsidR="00535BBF" w:rsidRDefault="000844D4">
      <w:pPr>
        <w:pStyle w:val="ListBullet"/>
      </w:pPr>
      <w:r>
        <w:t>Identify common strengths and challenges affecting teaching and learning.</w:t>
      </w:r>
    </w:p>
    <w:p w14:paraId="46D3F7E8" w14:textId="77777777" w:rsidR="00535BBF" w:rsidRDefault="000844D4">
      <w:pPr>
        <w:pStyle w:val="ListBullet"/>
      </w:pPr>
      <w:r>
        <w:t>Generate evidence to inform the design of teacher training and coaching interventions.</w:t>
      </w:r>
    </w:p>
    <w:p w14:paraId="4CDA4B42" w14:textId="77777777" w:rsidR="00535BBF" w:rsidRPr="000844D4" w:rsidRDefault="000844D4">
      <w:pPr>
        <w:pStyle w:val="Heading2"/>
        <w:rPr>
          <w:color w:val="FF0000"/>
        </w:rPr>
      </w:pPr>
      <w:r w:rsidRPr="000844D4">
        <w:rPr>
          <w:color w:val="FF0000"/>
        </w:rPr>
        <w:t>6. Methodology</w:t>
      </w:r>
    </w:p>
    <w:p w14:paraId="6D8603DB" w14:textId="77777777" w:rsidR="00535BBF" w:rsidRDefault="000844D4">
      <w:r>
        <w:t>The consultant will apply a mixed-methods approach, with an emphasis on classroom observation and teacher reflection. Detailed data collection tools, indicators, and analytical approaches will be refined and proposed by the selected consultant during the inception phase.</w:t>
      </w:r>
    </w:p>
    <w:p w14:paraId="494EE371" w14:textId="77777777" w:rsidR="00535BBF" w:rsidRPr="000844D4" w:rsidRDefault="000844D4">
      <w:pPr>
        <w:pStyle w:val="Heading2"/>
        <w:rPr>
          <w:color w:val="FF0000"/>
        </w:rPr>
      </w:pPr>
      <w:r w:rsidRPr="000844D4">
        <w:rPr>
          <w:color w:val="FF0000"/>
        </w:rPr>
        <w:t>7. Ethical Considerations</w:t>
      </w:r>
    </w:p>
    <w:p w14:paraId="72783BB1" w14:textId="77777777" w:rsidR="00535BBF" w:rsidRDefault="000844D4">
      <w:r>
        <w:t>All assessment activities will adhere to Save the Children’s ethical standards, including informed consent, confidentiality, safeguarding, data protection, and sensitivity to the local context.</w:t>
      </w:r>
    </w:p>
    <w:p w14:paraId="0996E6BF" w14:textId="77777777" w:rsidR="00535BBF" w:rsidRPr="000844D4" w:rsidRDefault="000844D4">
      <w:pPr>
        <w:pStyle w:val="Heading2"/>
        <w:rPr>
          <w:color w:val="FF0000"/>
        </w:rPr>
      </w:pPr>
      <w:r w:rsidRPr="000844D4">
        <w:rPr>
          <w:color w:val="FF0000"/>
        </w:rPr>
        <w:t>8. Consultant Profile</w:t>
      </w:r>
    </w:p>
    <w:p w14:paraId="7D1EE129" w14:textId="77777777" w:rsidR="00535BBF" w:rsidRDefault="000844D4">
      <w:r>
        <w:t>Interested consultants must demonstrate the following qualifications:</w:t>
      </w:r>
    </w:p>
    <w:p w14:paraId="24B0CF71" w14:textId="77777777" w:rsidR="00535BBF" w:rsidRDefault="000844D4">
      <w:pPr>
        <w:pStyle w:val="ListBullet"/>
      </w:pPr>
      <w:r>
        <w:t>Proven experience in teacher competency or classroom practice assessments, preferably with international organisations or institutions.</w:t>
      </w:r>
    </w:p>
    <w:p w14:paraId="2E12EB1B" w14:textId="77777777" w:rsidR="00535BBF" w:rsidRDefault="000844D4">
      <w:pPr>
        <w:pStyle w:val="ListBullet"/>
      </w:pPr>
      <w:r>
        <w:t>Strong expertise in education research and mixed-methods analysis.</w:t>
      </w:r>
    </w:p>
    <w:p w14:paraId="26D24879" w14:textId="50BD3824" w:rsidR="00535BBF" w:rsidRDefault="000844D4">
      <w:pPr>
        <w:pStyle w:val="ListBullet"/>
      </w:pPr>
      <w:r>
        <w:t xml:space="preserve">Experience working in humanitarian and/or development contexts; experience in Sudan is </w:t>
      </w:r>
      <w:r w:rsidR="009932A1">
        <w:t>essential</w:t>
      </w:r>
      <w:r>
        <w:t>.</w:t>
      </w:r>
    </w:p>
    <w:p w14:paraId="6C32FF61" w14:textId="77777777" w:rsidR="00535BBF" w:rsidRDefault="000844D4">
      <w:pPr>
        <w:pStyle w:val="ListBullet"/>
      </w:pPr>
      <w:r>
        <w:t>Fluency in Arabic and English.</w:t>
      </w:r>
    </w:p>
    <w:p w14:paraId="7B7C19A1" w14:textId="77777777" w:rsidR="00535BBF" w:rsidRDefault="000844D4">
      <w:pPr>
        <w:pStyle w:val="ListBullet"/>
      </w:pPr>
      <w:r>
        <w:t>Strong analytical and report-writing skills.</w:t>
      </w:r>
    </w:p>
    <w:p w14:paraId="62F03D2E" w14:textId="77777777" w:rsidR="00535BBF" w:rsidRPr="000844D4" w:rsidRDefault="000844D4">
      <w:pPr>
        <w:pStyle w:val="Heading2"/>
        <w:rPr>
          <w:color w:val="FF0000"/>
        </w:rPr>
      </w:pPr>
      <w:r w:rsidRPr="000844D4">
        <w:rPr>
          <w:color w:val="FF0000"/>
        </w:rPr>
        <w:t>9. Duration and Payment Schedule</w:t>
      </w:r>
    </w:p>
    <w:p w14:paraId="35680C1E" w14:textId="241C427A" w:rsidR="00535BBF" w:rsidRDefault="000844D4">
      <w:r>
        <w:t>The assignment is expected to be completed within</w:t>
      </w:r>
      <w:r w:rsidR="0070454B">
        <w:t xml:space="preserve"> 60</w:t>
      </w:r>
      <w:r>
        <w:t xml:space="preserve"> days. Payments will be made according to the following schedule:</w:t>
      </w:r>
    </w:p>
    <w:p w14:paraId="73A59EC8" w14:textId="77777777" w:rsidR="00535BBF" w:rsidRDefault="000844D4">
      <w:pPr>
        <w:pStyle w:val="ListBullet"/>
      </w:pPr>
      <w:r>
        <w:t>40% upon approval of a satisfactory inception report.</w:t>
      </w:r>
    </w:p>
    <w:p w14:paraId="43A2157A" w14:textId="6B2EFAE4" w:rsidR="000E6263" w:rsidRDefault="000E6263">
      <w:pPr>
        <w:pStyle w:val="ListBullet"/>
      </w:pPr>
      <w:r>
        <w:t xml:space="preserve">20% after successful completion of the </w:t>
      </w:r>
      <w:r w:rsidR="00E57206">
        <w:t xml:space="preserve">TOT, </w:t>
      </w:r>
      <w:r>
        <w:t>dissemination</w:t>
      </w:r>
      <w:r w:rsidR="0070454B">
        <w:t>,</w:t>
      </w:r>
      <w:r>
        <w:t xml:space="preserve"> </w:t>
      </w:r>
      <w:r w:rsidR="0079093A">
        <w:t xml:space="preserve">and rollout </w:t>
      </w:r>
      <w:r>
        <w:t>workshop</w:t>
      </w:r>
    </w:p>
    <w:p w14:paraId="2BA28A7E" w14:textId="77777777" w:rsidR="00870EC4" w:rsidRDefault="00870EC4" w:rsidP="00870EC4">
      <w:pPr>
        <w:pStyle w:val="ListBullet"/>
      </w:pPr>
      <w:r>
        <w:t>40% upon approval of a satisfactory final report.</w:t>
      </w:r>
    </w:p>
    <w:p w14:paraId="386A19D6" w14:textId="77777777" w:rsidR="00870EC4" w:rsidRDefault="00870EC4" w:rsidP="00C35AC7">
      <w:pPr>
        <w:pStyle w:val="ListBullet"/>
        <w:numPr>
          <w:ilvl w:val="0"/>
          <w:numId w:val="0"/>
        </w:numPr>
        <w:ind w:left="360"/>
      </w:pPr>
    </w:p>
    <w:p w14:paraId="4CCACC61" w14:textId="77777777" w:rsidR="00535BBF" w:rsidRPr="000844D4" w:rsidRDefault="000844D4">
      <w:pPr>
        <w:pStyle w:val="Heading2"/>
        <w:rPr>
          <w:color w:val="FF0000"/>
        </w:rPr>
      </w:pPr>
      <w:r w:rsidRPr="000844D4">
        <w:rPr>
          <w:color w:val="FF0000"/>
        </w:rPr>
        <w:lastRenderedPageBreak/>
        <w:t>10. Tentative Timeline</w:t>
      </w:r>
    </w:p>
    <w:tbl>
      <w:tblPr>
        <w:tblStyle w:val="TableGrid"/>
        <w:tblW w:w="0" w:type="auto"/>
        <w:tblLook w:val="04A0" w:firstRow="1" w:lastRow="0" w:firstColumn="1" w:lastColumn="0" w:noHBand="0" w:noVBand="1"/>
      </w:tblPr>
      <w:tblGrid>
        <w:gridCol w:w="4315"/>
        <w:gridCol w:w="4315"/>
      </w:tblGrid>
      <w:tr w:rsidR="00535BBF" w14:paraId="1A36D098" w14:textId="77777777" w:rsidTr="0079093A">
        <w:tc>
          <w:tcPr>
            <w:tcW w:w="4315" w:type="dxa"/>
          </w:tcPr>
          <w:p w14:paraId="1B0F7FC1" w14:textId="77777777" w:rsidR="00535BBF" w:rsidRDefault="000844D4">
            <w:r>
              <w:t>Activity</w:t>
            </w:r>
          </w:p>
        </w:tc>
        <w:tc>
          <w:tcPr>
            <w:tcW w:w="4315" w:type="dxa"/>
          </w:tcPr>
          <w:p w14:paraId="3CA4D2C6" w14:textId="77777777" w:rsidR="00535BBF" w:rsidRDefault="000844D4">
            <w:r>
              <w:t>Timeline</w:t>
            </w:r>
          </w:p>
        </w:tc>
      </w:tr>
      <w:tr w:rsidR="00535BBF" w14:paraId="4B37A4AE" w14:textId="77777777" w:rsidTr="0079093A">
        <w:tc>
          <w:tcPr>
            <w:tcW w:w="4315" w:type="dxa"/>
          </w:tcPr>
          <w:p w14:paraId="43ED28D1" w14:textId="77777777" w:rsidR="00535BBF" w:rsidRDefault="000844D4">
            <w:r>
              <w:t>Technical proposal submission</w:t>
            </w:r>
          </w:p>
        </w:tc>
        <w:tc>
          <w:tcPr>
            <w:tcW w:w="4315" w:type="dxa"/>
          </w:tcPr>
          <w:p w14:paraId="7C43AC58" w14:textId="77777777" w:rsidR="00535BBF" w:rsidRDefault="000844D4">
            <w:r>
              <w:t>05 February 2026</w:t>
            </w:r>
          </w:p>
        </w:tc>
      </w:tr>
      <w:tr w:rsidR="00535BBF" w14:paraId="69810E12" w14:textId="77777777" w:rsidTr="0079093A">
        <w:tc>
          <w:tcPr>
            <w:tcW w:w="4315" w:type="dxa"/>
          </w:tcPr>
          <w:p w14:paraId="30B572AA" w14:textId="77777777" w:rsidR="00535BBF" w:rsidRDefault="000844D4">
            <w:r>
              <w:t>Inception and tool refinement</w:t>
            </w:r>
          </w:p>
        </w:tc>
        <w:tc>
          <w:tcPr>
            <w:tcW w:w="4315" w:type="dxa"/>
          </w:tcPr>
          <w:p w14:paraId="3BFCBA3A" w14:textId="77777777" w:rsidR="00535BBF" w:rsidRDefault="000844D4">
            <w:r>
              <w:t>07 February 2026</w:t>
            </w:r>
          </w:p>
        </w:tc>
      </w:tr>
      <w:tr w:rsidR="00870EC4" w14:paraId="2A1F829C" w14:textId="77777777" w:rsidTr="0079093A">
        <w:tc>
          <w:tcPr>
            <w:tcW w:w="4315" w:type="dxa"/>
          </w:tcPr>
          <w:p w14:paraId="2A2BAACF" w14:textId="46607FEB" w:rsidR="00870EC4" w:rsidRDefault="00870EC4">
            <w:r>
              <w:t>TOT training</w:t>
            </w:r>
          </w:p>
        </w:tc>
        <w:tc>
          <w:tcPr>
            <w:tcW w:w="4315" w:type="dxa"/>
          </w:tcPr>
          <w:p w14:paraId="68449546" w14:textId="503BC8D7" w:rsidR="00870EC4" w:rsidRDefault="00C35AC7">
            <w:r>
              <w:t>8-15 February 2026</w:t>
            </w:r>
          </w:p>
        </w:tc>
      </w:tr>
      <w:tr w:rsidR="00535BBF" w14:paraId="774DCC00" w14:textId="77777777" w:rsidTr="0079093A">
        <w:tc>
          <w:tcPr>
            <w:tcW w:w="4315" w:type="dxa"/>
          </w:tcPr>
          <w:p w14:paraId="1705C1ED" w14:textId="77777777" w:rsidR="00535BBF" w:rsidRDefault="000844D4">
            <w:r>
              <w:t>Data collection</w:t>
            </w:r>
          </w:p>
        </w:tc>
        <w:tc>
          <w:tcPr>
            <w:tcW w:w="4315" w:type="dxa"/>
          </w:tcPr>
          <w:p w14:paraId="52ED5E77" w14:textId="77777777" w:rsidR="00535BBF" w:rsidRDefault="000844D4">
            <w:r>
              <w:t>16–28 February 2026</w:t>
            </w:r>
          </w:p>
        </w:tc>
      </w:tr>
      <w:tr w:rsidR="00535BBF" w14:paraId="5FEF6C5C" w14:textId="77777777" w:rsidTr="0079093A">
        <w:tc>
          <w:tcPr>
            <w:tcW w:w="4315" w:type="dxa"/>
          </w:tcPr>
          <w:p w14:paraId="7E9814DB" w14:textId="77777777" w:rsidR="00535BBF" w:rsidRDefault="000844D4">
            <w:r>
              <w:t>Data analysis</w:t>
            </w:r>
          </w:p>
        </w:tc>
        <w:tc>
          <w:tcPr>
            <w:tcW w:w="4315" w:type="dxa"/>
          </w:tcPr>
          <w:p w14:paraId="2B651550" w14:textId="77777777" w:rsidR="00535BBF" w:rsidRDefault="000844D4">
            <w:r>
              <w:t>01–07 March 2026</w:t>
            </w:r>
          </w:p>
        </w:tc>
      </w:tr>
      <w:tr w:rsidR="00535BBF" w14:paraId="7703CBF5" w14:textId="77777777" w:rsidTr="0079093A">
        <w:tc>
          <w:tcPr>
            <w:tcW w:w="4315" w:type="dxa"/>
          </w:tcPr>
          <w:p w14:paraId="7F1CFE81" w14:textId="77777777" w:rsidR="00535BBF" w:rsidRDefault="000844D4">
            <w:r>
              <w:t>Draft report submission</w:t>
            </w:r>
          </w:p>
        </w:tc>
        <w:tc>
          <w:tcPr>
            <w:tcW w:w="4315" w:type="dxa"/>
          </w:tcPr>
          <w:p w14:paraId="165C8916" w14:textId="77777777" w:rsidR="00535BBF" w:rsidRDefault="000844D4">
            <w:r>
              <w:t>15 March 2026</w:t>
            </w:r>
          </w:p>
        </w:tc>
      </w:tr>
      <w:tr w:rsidR="00CB2347" w14:paraId="6E5DA3D2" w14:textId="77777777" w:rsidTr="0079093A">
        <w:tc>
          <w:tcPr>
            <w:tcW w:w="4315" w:type="dxa"/>
          </w:tcPr>
          <w:p w14:paraId="27059361" w14:textId="37316388" w:rsidR="00CB2347" w:rsidRDefault="00CB2347" w:rsidP="00CB2347">
            <w:r>
              <w:t xml:space="preserve">Dissemination </w:t>
            </w:r>
            <w:r w:rsidR="0079093A">
              <w:t xml:space="preserve">and rollout </w:t>
            </w:r>
            <w:r>
              <w:t>workshop</w:t>
            </w:r>
          </w:p>
        </w:tc>
        <w:tc>
          <w:tcPr>
            <w:tcW w:w="4315" w:type="dxa"/>
          </w:tcPr>
          <w:p w14:paraId="1BF3ADC2" w14:textId="168AE451" w:rsidR="00CB2347" w:rsidRDefault="00CB2347" w:rsidP="00CB2347">
            <w:r>
              <w:t>25 March 2026</w:t>
            </w:r>
          </w:p>
        </w:tc>
      </w:tr>
      <w:tr w:rsidR="00CB2347" w14:paraId="2E8A5605" w14:textId="77777777" w:rsidTr="0079093A">
        <w:tc>
          <w:tcPr>
            <w:tcW w:w="4315" w:type="dxa"/>
          </w:tcPr>
          <w:p w14:paraId="4CD4F159" w14:textId="25B14C15" w:rsidR="00CB2347" w:rsidRDefault="00CB2347" w:rsidP="00CB2347">
            <w:r>
              <w:t>Final report submission</w:t>
            </w:r>
          </w:p>
        </w:tc>
        <w:tc>
          <w:tcPr>
            <w:tcW w:w="4315" w:type="dxa"/>
          </w:tcPr>
          <w:p w14:paraId="203BBB3A" w14:textId="7F18C700" w:rsidR="00CB2347" w:rsidRDefault="00CB2347" w:rsidP="00CB2347">
            <w:r>
              <w:t>5 April 2026</w:t>
            </w:r>
          </w:p>
        </w:tc>
      </w:tr>
    </w:tbl>
    <w:p w14:paraId="15C1C0C7" w14:textId="11D5A953" w:rsidR="000E6263" w:rsidRDefault="000E6263" w:rsidP="000E6263">
      <w:pPr>
        <w:pStyle w:val="Heading2"/>
        <w:spacing w:after="240"/>
        <w:rPr>
          <w:color w:val="FF0000"/>
        </w:rPr>
      </w:pPr>
      <w:r>
        <w:rPr>
          <w:color w:val="FF0000"/>
        </w:rPr>
        <w:t>11. Deliverables:</w:t>
      </w:r>
    </w:p>
    <w:p w14:paraId="2769C338" w14:textId="1D65BE61" w:rsidR="000E6263" w:rsidRDefault="000E6263" w:rsidP="000E6263">
      <w:pPr>
        <w:pStyle w:val="ListParagraph"/>
        <w:numPr>
          <w:ilvl w:val="0"/>
          <w:numId w:val="10"/>
        </w:numPr>
      </w:pPr>
      <w:r>
        <w:t xml:space="preserve">Inception report </w:t>
      </w:r>
    </w:p>
    <w:p w14:paraId="072A78C6" w14:textId="5C1B197B" w:rsidR="00FE6D1C" w:rsidRDefault="00FE6D1C" w:rsidP="000E6263">
      <w:pPr>
        <w:pStyle w:val="ListParagraph"/>
        <w:numPr>
          <w:ilvl w:val="0"/>
          <w:numId w:val="10"/>
        </w:numPr>
      </w:pPr>
      <w:r>
        <w:t>Tools</w:t>
      </w:r>
      <w:r w:rsidR="00595BD0">
        <w:t xml:space="preserve"> Development and refining</w:t>
      </w:r>
    </w:p>
    <w:p w14:paraId="111721CB" w14:textId="7FB3DB97" w:rsidR="0079093A" w:rsidRDefault="0079093A" w:rsidP="000E6263">
      <w:pPr>
        <w:pStyle w:val="ListParagraph"/>
        <w:numPr>
          <w:ilvl w:val="0"/>
          <w:numId w:val="10"/>
        </w:numPr>
      </w:pPr>
      <w:r>
        <w:t>TOT training</w:t>
      </w:r>
    </w:p>
    <w:p w14:paraId="3C2D8799" w14:textId="7650BFB4" w:rsidR="00D00E09" w:rsidRDefault="00D00E09" w:rsidP="000E6263">
      <w:pPr>
        <w:pStyle w:val="ListParagraph"/>
        <w:numPr>
          <w:ilvl w:val="0"/>
          <w:numId w:val="10"/>
        </w:numPr>
      </w:pPr>
      <w:r>
        <w:t>Draft Report</w:t>
      </w:r>
    </w:p>
    <w:p w14:paraId="578C009A" w14:textId="15273625" w:rsidR="00CB2347" w:rsidRDefault="0079093A" w:rsidP="000E6263">
      <w:pPr>
        <w:pStyle w:val="ListParagraph"/>
        <w:numPr>
          <w:ilvl w:val="0"/>
          <w:numId w:val="10"/>
        </w:numPr>
      </w:pPr>
      <w:r>
        <w:t xml:space="preserve">Dissemination and </w:t>
      </w:r>
      <w:r w:rsidR="00CB2347">
        <w:t>rollout workshop</w:t>
      </w:r>
    </w:p>
    <w:p w14:paraId="6E764E4C" w14:textId="3454B87B" w:rsidR="00CB2347" w:rsidRPr="000E6263" w:rsidRDefault="00CB2347" w:rsidP="000E6263">
      <w:pPr>
        <w:pStyle w:val="ListParagraph"/>
        <w:numPr>
          <w:ilvl w:val="0"/>
          <w:numId w:val="10"/>
        </w:numPr>
      </w:pPr>
      <w:r>
        <w:t>Final report</w:t>
      </w:r>
    </w:p>
    <w:p w14:paraId="0C12CF44" w14:textId="7CE5DE26" w:rsidR="00535BBF" w:rsidRPr="000844D4" w:rsidRDefault="000844D4">
      <w:pPr>
        <w:pStyle w:val="Heading2"/>
        <w:rPr>
          <w:color w:val="FF0000"/>
        </w:rPr>
      </w:pPr>
      <w:r w:rsidRPr="000844D4">
        <w:rPr>
          <w:color w:val="FF0000"/>
        </w:rPr>
        <w:t>1</w:t>
      </w:r>
      <w:r w:rsidR="000E6263">
        <w:rPr>
          <w:color w:val="FF0000"/>
        </w:rPr>
        <w:t>2</w:t>
      </w:r>
      <w:r w:rsidRPr="000844D4">
        <w:rPr>
          <w:color w:val="FF0000"/>
        </w:rPr>
        <w:t>. Proposal Submission Instructions</w:t>
      </w:r>
    </w:p>
    <w:p w14:paraId="48A62830" w14:textId="77777777" w:rsidR="00535BBF" w:rsidRDefault="000844D4">
      <w:r>
        <w:t>Interested consultants are invited to submit the following documents:</w:t>
      </w:r>
    </w:p>
    <w:p w14:paraId="29609407" w14:textId="77777777" w:rsidR="00535BBF" w:rsidRDefault="000844D4">
      <w:pPr>
        <w:pStyle w:val="ListBullet"/>
      </w:pPr>
      <w:r>
        <w:t>A technical proposal outlining understanding of the assignment and proposed approach;</w:t>
      </w:r>
    </w:p>
    <w:p w14:paraId="791B9B2B" w14:textId="77777777" w:rsidR="00535BBF" w:rsidRDefault="000844D4">
      <w:pPr>
        <w:pStyle w:val="ListBullet"/>
      </w:pPr>
      <w:r>
        <w:t>A financial proposal (in USD);</w:t>
      </w:r>
    </w:p>
    <w:p w14:paraId="331CBD87" w14:textId="77777777" w:rsidR="00535BBF" w:rsidRDefault="000844D4">
      <w:pPr>
        <w:pStyle w:val="ListBullet"/>
      </w:pPr>
      <w:r>
        <w:t>CVs of key personnel;</w:t>
      </w:r>
    </w:p>
    <w:p w14:paraId="709FB616" w14:textId="77777777" w:rsidR="00535BBF" w:rsidRDefault="000844D4">
      <w:pPr>
        <w:pStyle w:val="ListBullet"/>
      </w:pPr>
      <w:r>
        <w:t>A cover letter;</w:t>
      </w:r>
    </w:p>
    <w:p w14:paraId="4B5D612F" w14:textId="2C55B458" w:rsidR="00895CB4" w:rsidRDefault="00895CB4">
      <w:pPr>
        <w:pStyle w:val="ListBullet"/>
      </w:pPr>
      <w:r>
        <w:t>The Completed Bidder Response Document</w:t>
      </w:r>
      <w:r w:rsidR="00884A64">
        <w:t xml:space="preserve"> (BRD)</w:t>
      </w:r>
    </w:p>
    <w:p w14:paraId="3A196639" w14:textId="061FA2D6" w:rsidR="00535BBF" w:rsidRDefault="00535BBF" w:rsidP="005F350D">
      <w:pPr>
        <w:pStyle w:val="ListBullet"/>
        <w:numPr>
          <w:ilvl w:val="0"/>
          <w:numId w:val="0"/>
        </w:numPr>
        <w:ind w:left="360"/>
      </w:pPr>
    </w:p>
    <w:sectPr w:rsidR="00535BB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D9DC" w14:textId="77777777" w:rsidR="00F747C7" w:rsidRDefault="00F747C7" w:rsidP="00D00E09">
      <w:pPr>
        <w:spacing w:after="0" w:line="240" w:lineRule="auto"/>
      </w:pPr>
      <w:r>
        <w:separator/>
      </w:r>
    </w:p>
  </w:endnote>
  <w:endnote w:type="continuationSeparator" w:id="0">
    <w:p w14:paraId="3ECB3132" w14:textId="77777777" w:rsidR="00F747C7" w:rsidRDefault="00F747C7" w:rsidP="00D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411D" w14:textId="77777777" w:rsidR="00D00E09" w:rsidRDefault="00D0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231912"/>
      <w:docPartObj>
        <w:docPartGallery w:val="Page Numbers (Bottom of Page)"/>
        <w:docPartUnique/>
      </w:docPartObj>
    </w:sdtPr>
    <w:sdtEndPr>
      <w:rPr>
        <w:noProof/>
      </w:rPr>
    </w:sdtEndPr>
    <w:sdtContent>
      <w:p w14:paraId="18B5D624" w14:textId="09C41627" w:rsidR="00D00E09" w:rsidRDefault="00D00E09">
        <w:pPr>
          <w:pStyle w:val="Footer"/>
        </w:pPr>
        <w:r>
          <w:fldChar w:fldCharType="begin"/>
        </w:r>
        <w:r>
          <w:instrText xml:space="preserve"> PAGE   \* MERGEFORMAT </w:instrText>
        </w:r>
        <w:r>
          <w:fldChar w:fldCharType="separate"/>
        </w:r>
        <w:r>
          <w:rPr>
            <w:noProof/>
          </w:rPr>
          <w:t>2</w:t>
        </w:r>
        <w:r>
          <w:rPr>
            <w:noProof/>
          </w:rPr>
          <w:fldChar w:fldCharType="end"/>
        </w:r>
      </w:p>
    </w:sdtContent>
  </w:sdt>
  <w:p w14:paraId="5C887421" w14:textId="77777777" w:rsidR="00D00E09" w:rsidRDefault="00D00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E368" w14:textId="77777777" w:rsidR="00D00E09" w:rsidRDefault="00D0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46E4" w14:textId="77777777" w:rsidR="00F747C7" w:rsidRDefault="00F747C7" w:rsidP="00D00E09">
      <w:pPr>
        <w:spacing w:after="0" w:line="240" w:lineRule="auto"/>
      </w:pPr>
      <w:r>
        <w:separator/>
      </w:r>
    </w:p>
  </w:footnote>
  <w:footnote w:type="continuationSeparator" w:id="0">
    <w:p w14:paraId="0F1C561B" w14:textId="77777777" w:rsidR="00F747C7" w:rsidRDefault="00F747C7" w:rsidP="00D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5853" w14:textId="77777777" w:rsidR="00D00E09" w:rsidRDefault="00D00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C04C" w14:textId="77777777" w:rsidR="00D00E09" w:rsidRDefault="00D00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5B43" w14:textId="77777777" w:rsidR="00D00E09" w:rsidRDefault="00D00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5033F95"/>
    <w:multiLevelType w:val="hybridMultilevel"/>
    <w:tmpl w:val="F6D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448253">
    <w:abstractNumId w:val="8"/>
  </w:num>
  <w:num w:numId="2" w16cid:durableId="1720858649">
    <w:abstractNumId w:val="6"/>
  </w:num>
  <w:num w:numId="3" w16cid:durableId="1168978796">
    <w:abstractNumId w:val="5"/>
  </w:num>
  <w:num w:numId="4" w16cid:durableId="1541162605">
    <w:abstractNumId w:val="4"/>
  </w:num>
  <w:num w:numId="5" w16cid:durableId="123928789">
    <w:abstractNumId w:val="7"/>
  </w:num>
  <w:num w:numId="6" w16cid:durableId="555510763">
    <w:abstractNumId w:val="3"/>
  </w:num>
  <w:num w:numId="7" w16cid:durableId="1134373933">
    <w:abstractNumId w:val="2"/>
  </w:num>
  <w:num w:numId="8" w16cid:durableId="1502743418">
    <w:abstractNumId w:val="1"/>
  </w:num>
  <w:num w:numId="9" w16cid:durableId="234778891">
    <w:abstractNumId w:val="0"/>
  </w:num>
  <w:num w:numId="10" w16cid:durableId="1278105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4D4"/>
    <w:rsid w:val="000D6E5F"/>
    <w:rsid w:val="000D7032"/>
    <w:rsid w:val="000E14AC"/>
    <w:rsid w:val="000E6263"/>
    <w:rsid w:val="0015074B"/>
    <w:rsid w:val="001E4393"/>
    <w:rsid w:val="00293FDF"/>
    <w:rsid w:val="0029639D"/>
    <w:rsid w:val="003111B0"/>
    <w:rsid w:val="00326F90"/>
    <w:rsid w:val="003761F5"/>
    <w:rsid w:val="004F098D"/>
    <w:rsid w:val="00535BBF"/>
    <w:rsid w:val="00595BD0"/>
    <w:rsid w:val="005F350D"/>
    <w:rsid w:val="006B232C"/>
    <w:rsid w:val="006D2FD5"/>
    <w:rsid w:val="0070454B"/>
    <w:rsid w:val="00766846"/>
    <w:rsid w:val="0079093A"/>
    <w:rsid w:val="007C0E8C"/>
    <w:rsid w:val="00870EC4"/>
    <w:rsid w:val="00884A64"/>
    <w:rsid w:val="00895CB4"/>
    <w:rsid w:val="009932A1"/>
    <w:rsid w:val="00A45D07"/>
    <w:rsid w:val="00AA1D8D"/>
    <w:rsid w:val="00B47730"/>
    <w:rsid w:val="00B82B86"/>
    <w:rsid w:val="00C35AC7"/>
    <w:rsid w:val="00C80540"/>
    <w:rsid w:val="00CB0664"/>
    <w:rsid w:val="00CB2347"/>
    <w:rsid w:val="00D00E09"/>
    <w:rsid w:val="00D828CB"/>
    <w:rsid w:val="00E57206"/>
    <w:rsid w:val="00EC4EFE"/>
    <w:rsid w:val="00F747C7"/>
    <w:rsid w:val="00FC693F"/>
    <w:rsid w:val="00FE21E3"/>
    <w:rsid w:val="00FE6D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FE91B"/>
  <w14:defaultImageDpi w14:val="300"/>
  <w15:docId w15:val="{D929B4A9-0E8A-4DC0-807F-99F7B5ED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F350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C9F2-2BD3-2E47-9883-F7414215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Essamuldeen, Waddah</cp:lastModifiedBy>
  <cp:revision>12</cp:revision>
  <dcterms:created xsi:type="dcterms:W3CDTF">2026-01-19T07:09:00Z</dcterms:created>
  <dcterms:modified xsi:type="dcterms:W3CDTF">2026-01-20T06:51:00Z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24ed66f8-d29d-492f-905e-d26207fca625</vt:lpwstr>
  </property>
</Properties>
</file>